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7573FF" w14:textId="36EBE7C2" w:rsidR="008A07B2" w:rsidRPr="00C20B08" w:rsidRDefault="00730388" w:rsidP="008A07B2">
      <w:pPr>
        <w:rPr>
          <w:rFonts w:ascii="Garamond" w:hAnsi="Garamond"/>
          <w:lang w:val="en-US"/>
        </w:rPr>
      </w:pPr>
      <w:r w:rsidRPr="00186C94">
        <w:rPr>
          <w:noProof/>
          <w:color w:val="FFFFFF"/>
          <w:lang w:eastAsia="fr-FR"/>
        </w:rPr>
        <w:drawing>
          <wp:inline distT="0" distB="0" distL="0" distR="0" wp14:anchorId="0B9E8DBD" wp14:editId="5CB03F22">
            <wp:extent cx="1110545" cy="990021"/>
            <wp:effectExtent l="0" t="0" r="0" b="635"/>
            <wp:docPr id="10"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119861" cy="998326"/>
                    </a:xfrm>
                    <a:prstGeom prst="rect">
                      <a:avLst/>
                    </a:prstGeom>
                    <a:noFill/>
                    <a:ln w="9525">
                      <a:noFill/>
                      <a:miter lim="800000"/>
                      <a:headEnd/>
                      <a:tailEnd/>
                    </a:ln>
                  </pic:spPr>
                </pic:pic>
              </a:graphicData>
            </a:graphic>
          </wp:inline>
        </w:drawing>
      </w:r>
    </w:p>
    <w:p w14:paraId="69EFE363" w14:textId="77777777" w:rsidR="008A07B2" w:rsidRPr="00EF423C" w:rsidRDefault="001B03FB" w:rsidP="008A07B2">
      <w:pPr>
        <w:jc w:val="center"/>
        <w:rPr>
          <w:rFonts w:ascii="Garamond" w:hAnsi="Garamond"/>
          <w:b/>
          <w:sz w:val="28"/>
          <w:szCs w:val="28"/>
        </w:rPr>
      </w:pPr>
      <w:r w:rsidRPr="00EF423C">
        <w:rPr>
          <w:rFonts w:ascii="Garamond" w:hAnsi="Garamond"/>
          <w:b/>
          <w:sz w:val="28"/>
          <w:szCs w:val="28"/>
        </w:rPr>
        <w:t xml:space="preserve">Guide </w:t>
      </w:r>
      <w:r w:rsidR="00A03BDE" w:rsidRPr="00EF423C">
        <w:rPr>
          <w:rFonts w:ascii="Garamond" w:hAnsi="Garamond"/>
          <w:b/>
          <w:sz w:val="28"/>
          <w:szCs w:val="28"/>
        </w:rPr>
        <w:t>méthodologique</w:t>
      </w:r>
      <w:r w:rsidRPr="00EF423C">
        <w:rPr>
          <w:rFonts w:ascii="Garamond" w:hAnsi="Garamond"/>
          <w:b/>
          <w:sz w:val="28"/>
          <w:szCs w:val="28"/>
        </w:rPr>
        <w:t xml:space="preserve"> </w:t>
      </w:r>
    </w:p>
    <w:p w14:paraId="32F3406E" w14:textId="77777777" w:rsidR="001B03FB" w:rsidRPr="00EF423C" w:rsidRDefault="001B03FB" w:rsidP="008A07B2">
      <w:pPr>
        <w:jc w:val="center"/>
        <w:rPr>
          <w:rFonts w:ascii="Garamond" w:hAnsi="Garamond"/>
          <w:b/>
          <w:sz w:val="28"/>
          <w:szCs w:val="28"/>
        </w:rPr>
      </w:pPr>
      <w:r w:rsidRPr="00EF423C">
        <w:rPr>
          <w:rFonts w:ascii="Garamond" w:hAnsi="Garamond"/>
          <w:b/>
          <w:sz w:val="28"/>
          <w:szCs w:val="28"/>
        </w:rPr>
        <w:t>Documents prudentiels européens quantitatifs à communiquer annuellement et trimestriellement par les organismes de retraite professionnelle supplémentaire</w:t>
      </w:r>
    </w:p>
    <w:p w14:paraId="38FB9247" w14:textId="77777777" w:rsidR="00A51514" w:rsidRPr="00C20B08" w:rsidRDefault="008A07B2" w:rsidP="008A07B2">
      <w:pPr>
        <w:spacing w:after="0" w:line="240" w:lineRule="auto"/>
        <w:jc w:val="center"/>
        <w:rPr>
          <w:rFonts w:ascii="Garamond" w:hAnsi="Garamond"/>
        </w:rPr>
      </w:pPr>
      <w:r w:rsidRPr="00C20B08">
        <w:rPr>
          <w:rFonts w:ascii="Garamond" w:hAnsi="Garamond"/>
        </w:rPr>
        <w:tab/>
      </w:r>
    </w:p>
    <w:p w14:paraId="2627913A" w14:textId="77777777" w:rsidR="008A07B2" w:rsidRPr="00C20B08" w:rsidRDefault="008A07B2" w:rsidP="008A07B2">
      <w:pPr>
        <w:spacing w:after="0" w:line="240" w:lineRule="auto"/>
        <w:jc w:val="center"/>
        <w:rPr>
          <w:rFonts w:ascii="Garamond" w:hAnsi="Garamond"/>
        </w:rPr>
      </w:pPr>
    </w:p>
    <w:p w14:paraId="56FB12F8" w14:textId="52150CBF" w:rsidR="00611F68" w:rsidRDefault="00F7655D" w:rsidP="00611F68">
      <w:pPr>
        <w:pStyle w:val="Paragraphedeliste1"/>
        <w:ind w:left="0" w:firstLine="708"/>
        <w:rPr>
          <w:rFonts w:ascii="Garamond" w:hAnsi="Garamond"/>
          <w:szCs w:val="22"/>
        </w:rPr>
      </w:pPr>
      <w:r w:rsidRPr="00C20B08">
        <w:rPr>
          <w:rFonts w:ascii="Garamond" w:hAnsi="Garamond"/>
          <w:szCs w:val="22"/>
        </w:rPr>
        <w:t xml:space="preserve">Ce guide méthodologique traite des états </w:t>
      </w:r>
      <w:r w:rsidR="00B21AD9" w:rsidRPr="00C20B08">
        <w:rPr>
          <w:rFonts w:ascii="Garamond" w:hAnsi="Garamond"/>
          <w:szCs w:val="22"/>
        </w:rPr>
        <w:t xml:space="preserve">quantitatifs </w:t>
      </w:r>
      <w:r w:rsidRPr="00C20B08">
        <w:rPr>
          <w:rFonts w:ascii="Garamond" w:hAnsi="Garamond"/>
          <w:szCs w:val="22"/>
        </w:rPr>
        <w:t xml:space="preserve">présentés dans </w:t>
      </w:r>
      <w:r w:rsidR="00A36271">
        <w:rPr>
          <w:rFonts w:ascii="Garamond" w:hAnsi="Garamond"/>
          <w:szCs w:val="22"/>
        </w:rPr>
        <w:t>l’instruction 2020-I-05.</w:t>
      </w:r>
    </w:p>
    <w:p w14:paraId="79139712" w14:textId="77777777" w:rsidR="00F7655D" w:rsidRPr="00C20B08" w:rsidRDefault="00532E8A" w:rsidP="00611F68">
      <w:pPr>
        <w:pStyle w:val="Paragraphedeliste1"/>
        <w:ind w:left="0" w:firstLine="708"/>
        <w:rPr>
          <w:rFonts w:ascii="Garamond" w:hAnsi="Garamond"/>
          <w:szCs w:val="22"/>
        </w:rPr>
      </w:pPr>
      <w:r w:rsidRPr="00C20B08">
        <w:rPr>
          <w:rFonts w:ascii="Garamond" w:hAnsi="Garamond"/>
          <w:szCs w:val="22"/>
        </w:rPr>
        <w:t xml:space="preserve"> </w:t>
      </w:r>
    </w:p>
    <w:p w14:paraId="7F978BB7" w14:textId="77777777" w:rsidR="00CD4C41" w:rsidRPr="00C20B08" w:rsidRDefault="00CD4C41" w:rsidP="00CD4C41">
      <w:pPr>
        <w:spacing w:after="0" w:line="240" w:lineRule="auto"/>
        <w:jc w:val="center"/>
        <w:rPr>
          <w:rFonts w:ascii="Garamond" w:eastAsia="Times New Roman" w:hAnsi="Garamond" w:cs="Times New Roman"/>
          <w:b/>
          <w:color w:val="003B8E"/>
          <w:lang w:eastAsia="fr-FR"/>
        </w:rPr>
      </w:pPr>
    </w:p>
    <w:p w14:paraId="73D7E72F" w14:textId="77777777" w:rsidR="00CD4C41" w:rsidRPr="00C20B08" w:rsidRDefault="00CD4C41" w:rsidP="00F7655D">
      <w:pPr>
        <w:spacing w:after="0" w:line="240" w:lineRule="auto"/>
        <w:rPr>
          <w:rFonts w:ascii="Garamond" w:eastAsia="Times New Roman" w:hAnsi="Garamond" w:cs="Times New Roman"/>
          <w:b/>
          <w:color w:val="003B8E"/>
          <w:lang w:eastAsia="fr-FR"/>
        </w:rPr>
      </w:pPr>
    </w:p>
    <w:p w14:paraId="3CCCF215" w14:textId="77777777" w:rsidR="00BC02DF" w:rsidRDefault="00BC02DF" w:rsidP="00BC02DF">
      <w:pPr>
        <w:spacing w:after="0" w:line="240" w:lineRule="auto"/>
        <w:jc w:val="center"/>
        <w:rPr>
          <w:rFonts w:ascii="Garamond" w:eastAsia="Times New Roman" w:hAnsi="Garamond" w:cs="Times New Roman"/>
          <w:b/>
          <w:color w:val="003B8E"/>
          <w:sz w:val="28"/>
          <w:szCs w:val="28"/>
          <w:lang w:eastAsia="fr-FR"/>
        </w:rPr>
      </w:pPr>
      <w:r w:rsidRPr="00BC02DF">
        <w:rPr>
          <w:rFonts w:ascii="Garamond" w:eastAsia="Times New Roman" w:hAnsi="Garamond" w:cs="Times New Roman"/>
          <w:b/>
          <w:color w:val="003B8E"/>
          <w:sz w:val="28"/>
          <w:szCs w:val="28"/>
          <w:lang w:eastAsia="fr-FR"/>
        </w:rPr>
        <w:t>PFE.02.0</w:t>
      </w:r>
      <w:r>
        <w:rPr>
          <w:rFonts w:ascii="Garamond" w:eastAsia="Times New Roman" w:hAnsi="Garamond" w:cs="Times New Roman"/>
          <w:b/>
          <w:color w:val="003B8E"/>
          <w:sz w:val="28"/>
          <w:szCs w:val="28"/>
          <w:lang w:eastAsia="fr-FR"/>
        </w:rPr>
        <w:t xml:space="preserve">1.30 - Bilan [avec </w:t>
      </w:r>
      <w:proofErr w:type="spellStart"/>
      <w:r>
        <w:rPr>
          <w:rFonts w:ascii="Garamond" w:eastAsia="Times New Roman" w:hAnsi="Garamond" w:cs="Times New Roman"/>
          <w:b/>
          <w:color w:val="003B8E"/>
          <w:sz w:val="28"/>
          <w:szCs w:val="28"/>
          <w:lang w:eastAsia="fr-FR"/>
        </w:rPr>
        <w:t>add-ons</w:t>
      </w:r>
      <w:proofErr w:type="spellEnd"/>
      <w:r>
        <w:rPr>
          <w:rFonts w:ascii="Garamond" w:eastAsia="Times New Roman" w:hAnsi="Garamond" w:cs="Times New Roman"/>
          <w:b/>
          <w:color w:val="003B8E"/>
          <w:sz w:val="28"/>
          <w:szCs w:val="28"/>
          <w:lang w:eastAsia="fr-FR"/>
        </w:rPr>
        <w:t xml:space="preserve"> BCE]</w:t>
      </w:r>
      <w:r w:rsidRPr="00BC02DF">
        <w:rPr>
          <w:rFonts w:ascii="Garamond" w:eastAsia="Times New Roman" w:hAnsi="Garamond" w:cs="Times New Roman"/>
          <w:b/>
          <w:color w:val="003B8E"/>
          <w:sz w:val="28"/>
          <w:szCs w:val="28"/>
          <w:lang w:eastAsia="fr-FR"/>
        </w:rPr>
        <w:t xml:space="preserve"> </w:t>
      </w:r>
    </w:p>
    <w:p w14:paraId="1D6FDAC9" w14:textId="77777777" w:rsidR="00BC02DF" w:rsidRPr="00BC02DF" w:rsidRDefault="00BC02DF" w:rsidP="00BC02DF">
      <w:pPr>
        <w:spacing w:after="0" w:line="240" w:lineRule="auto"/>
        <w:jc w:val="center"/>
        <w:rPr>
          <w:rFonts w:ascii="Garamond" w:eastAsia="Times New Roman" w:hAnsi="Garamond" w:cs="Times New Roman"/>
          <w:b/>
          <w:color w:val="003B8E"/>
          <w:sz w:val="28"/>
          <w:szCs w:val="28"/>
          <w:lang w:eastAsia="fr-FR"/>
        </w:rPr>
      </w:pPr>
      <w:r w:rsidRPr="00BC02DF">
        <w:rPr>
          <w:rFonts w:ascii="Garamond" w:eastAsia="Times New Roman" w:hAnsi="Garamond" w:cs="Times New Roman"/>
          <w:b/>
          <w:color w:val="003B8E"/>
          <w:sz w:val="28"/>
          <w:szCs w:val="28"/>
          <w:lang w:eastAsia="fr-FR"/>
        </w:rPr>
        <w:t>(</w:t>
      </w:r>
      <w:proofErr w:type="gramStart"/>
      <w:r w:rsidRPr="00BC02DF">
        <w:rPr>
          <w:rFonts w:ascii="Garamond" w:eastAsia="Times New Roman" w:hAnsi="Garamond" w:cs="Times New Roman"/>
          <w:b/>
          <w:color w:val="003B8E"/>
          <w:sz w:val="28"/>
          <w:szCs w:val="28"/>
          <w:lang w:eastAsia="fr-FR"/>
        </w:rPr>
        <w:t>remise</w:t>
      </w:r>
      <w:proofErr w:type="gramEnd"/>
      <w:r w:rsidRPr="00BC02DF">
        <w:rPr>
          <w:rFonts w:ascii="Garamond" w:eastAsia="Times New Roman" w:hAnsi="Garamond" w:cs="Times New Roman"/>
          <w:b/>
          <w:color w:val="003B8E"/>
          <w:sz w:val="28"/>
          <w:szCs w:val="28"/>
          <w:lang w:eastAsia="fr-FR"/>
        </w:rPr>
        <w:t xml:space="preserve"> annuelle et trimestrielle)</w:t>
      </w:r>
    </w:p>
    <w:p w14:paraId="67290B9D" w14:textId="77777777" w:rsidR="00BC02DF" w:rsidRDefault="00BC02DF" w:rsidP="00BC02DF">
      <w:pPr>
        <w:pStyle w:val="Paragraphedeliste1"/>
        <w:spacing w:before="20"/>
        <w:ind w:left="0"/>
        <w:contextualSpacing w:val="0"/>
        <w:rPr>
          <w:rFonts w:ascii="Garamond" w:hAnsi="Garamond"/>
          <w:szCs w:val="22"/>
        </w:rPr>
      </w:pPr>
    </w:p>
    <w:p w14:paraId="2CAF6186" w14:textId="77777777" w:rsidR="004E6A60" w:rsidRPr="00C20B08" w:rsidRDefault="004E6A60" w:rsidP="00BC02DF">
      <w:pPr>
        <w:pStyle w:val="Paragraphedeliste1"/>
        <w:spacing w:before="20"/>
        <w:ind w:left="0"/>
        <w:contextualSpacing w:val="0"/>
        <w:rPr>
          <w:rFonts w:ascii="Garamond" w:hAnsi="Garamond"/>
          <w:szCs w:val="22"/>
        </w:rPr>
      </w:pPr>
    </w:p>
    <w:p w14:paraId="5F3D2333" w14:textId="77777777" w:rsidR="00BC02DF" w:rsidRDefault="004E6A60" w:rsidP="004E6A60">
      <w:pPr>
        <w:pStyle w:val="Titre1"/>
        <w:rPr>
          <w:rFonts w:eastAsia="Times New Roman"/>
          <w:lang w:eastAsia="fr-FR"/>
        </w:rPr>
      </w:pPr>
      <w:r w:rsidRPr="004E6A60">
        <w:rPr>
          <w:rFonts w:eastAsia="Times New Roman"/>
          <w:lang w:eastAsia="fr-FR"/>
        </w:rPr>
        <w:t>PFE.02.01.30.01</w:t>
      </w:r>
      <w:bookmarkStart w:id="0" w:name="_GoBack"/>
      <w:bookmarkEnd w:id="0"/>
    </w:p>
    <w:p w14:paraId="477C4D58" w14:textId="77777777" w:rsidR="004E6A60" w:rsidRPr="004E6A60" w:rsidRDefault="004E6A60" w:rsidP="004E6A60">
      <w:pPr>
        <w:rPr>
          <w:lang w:eastAsia="fr-FR"/>
        </w:rPr>
      </w:pPr>
    </w:p>
    <w:p w14:paraId="06AFFF71" w14:textId="77777777" w:rsidR="00BC02DF" w:rsidRPr="006C3B51" w:rsidRDefault="00BC02DF" w:rsidP="00BC02DF">
      <w:pPr>
        <w:pStyle w:val="Paragraphedeliste"/>
        <w:numPr>
          <w:ilvl w:val="0"/>
          <w:numId w:val="12"/>
        </w:numPr>
        <w:spacing w:after="0" w:line="240" w:lineRule="auto"/>
        <w:rPr>
          <w:rFonts w:ascii="Garamond" w:hAnsi="Garamond"/>
          <w:b/>
        </w:rPr>
      </w:pPr>
      <w:r w:rsidRPr="006C3B51">
        <w:rPr>
          <w:rFonts w:ascii="Garamond" w:eastAsia="Times New Roman" w:hAnsi="Garamond" w:cs="Times New Roman"/>
          <w:b/>
          <w:lang w:eastAsia="fr-FR"/>
        </w:rPr>
        <w:t>Colonnes</w:t>
      </w:r>
    </w:p>
    <w:p w14:paraId="28E736B1" w14:textId="77777777" w:rsidR="003201BA" w:rsidRDefault="003201BA" w:rsidP="00BC02DF">
      <w:pPr>
        <w:pStyle w:val="Paragraphedeliste1"/>
        <w:spacing w:before="20"/>
        <w:ind w:left="0"/>
        <w:contextualSpacing w:val="0"/>
        <w:rPr>
          <w:rFonts w:ascii="Garamond" w:eastAsia="Calibri" w:hAnsi="Garamond"/>
          <w:szCs w:val="22"/>
          <w:lang w:eastAsia="ar-SA"/>
        </w:rPr>
      </w:pPr>
    </w:p>
    <w:p w14:paraId="4929F752" w14:textId="77777777" w:rsidR="00BC02DF" w:rsidRPr="00C20B08" w:rsidRDefault="00BC02DF" w:rsidP="00BC02DF">
      <w:pPr>
        <w:pStyle w:val="Paragraphedeliste1"/>
        <w:spacing w:before="20"/>
        <w:ind w:left="0"/>
        <w:contextualSpacing w:val="0"/>
        <w:rPr>
          <w:rFonts w:ascii="Garamond" w:eastAsia="Calibri" w:hAnsi="Garamond"/>
          <w:szCs w:val="22"/>
          <w:lang w:eastAsia="ar-SA"/>
        </w:rPr>
      </w:pPr>
      <w:r w:rsidRPr="00C20B08">
        <w:rPr>
          <w:rFonts w:ascii="Garamond" w:eastAsia="Calibri" w:hAnsi="Garamond"/>
          <w:szCs w:val="22"/>
          <w:lang w:eastAsia="ar-SA"/>
        </w:rPr>
        <w:t>Le tableau de l’état comporte :</w:t>
      </w:r>
    </w:p>
    <w:p w14:paraId="6A01E884" w14:textId="138A0C35" w:rsidR="00BC02DF" w:rsidRPr="00C20B08" w:rsidRDefault="00BC02DF" w:rsidP="00BC02DF">
      <w:pPr>
        <w:pStyle w:val="Paragraphedeliste1"/>
        <w:numPr>
          <w:ilvl w:val="0"/>
          <w:numId w:val="9"/>
        </w:numPr>
        <w:spacing w:before="20"/>
        <w:rPr>
          <w:rFonts w:ascii="Garamond" w:hAnsi="Garamond"/>
          <w:szCs w:val="22"/>
        </w:rPr>
      </w:pPr>
      <w:r w:rsidRPr="00C20B08">
        <w:rPr>
          <w:rFonts w:ascii="Garamond" w:eastAsia="Calibri" w:hAnsi="Garamond"/>
          <w:szCs w:val="22"/>
          <w:lang w:eastAsia="ar-SA"/>
        </w:rPr>
        <w:t>Une colonne </w:t>
      </w:r>
      <w:r w:rsidRPr="00C20B08">
        <w:rPr>
          <w:rFonts w:ascii="Garamond" w:hAnsi="Garamond"/>
          <w:szCs w:val="22"/>
        </w:rPr>
        <w:t>C0010 Contrats à prestations définies (</w:t>
      </w:r>
      <w:r w:rsidR="00DA10DD">
        <w:rPr>
          <w:rFonts w:ascii="Garamond" w:hAnsi="Garamond"/>
        </w:rPr>
        <w:t>les indemnités de fin de carrière et les anciens contrats article 39</w:t>
      </w:r>
      <w:r w:rsidRPr="00C20B08">
        <w:rPr>
          <w:rFonts w:ascii="Garamond" w:hAnsi="Garamond"/>
          <w:szCs w:val="22"/>
        </w:rPr>
        <w:t>)</w:t>
      </w:r>
    </w:p>
    <w:p w14:paraId="66420716" w14:textId="69B584AC" w:rsidR="00BC02DF" w:rsidRPr="00C20B08" w:rsidRDefault="00BC02DF" w:rsidP="00BC02DF">
      <w:pPr>
        <w:pStyle w:val="Paragraphedeliste1"/>
        <w:numPr>
          <w:ilvl w:val="0"/>
          <w:numId w:val="9"/>
        </w:numPr>
        <w:spacing w:before="20"/>
        <w:contextualSpacing w:val="0"/>
        <w:rPr>
          <w:rFonts w:ascii="Garamond" w:hAnsi="Garamond"/>
          <w:szCs w:val="22"/>
        </w:rPr>
      </w:pPr>
      <w:r w:rsidRPr="00C20B08">
        <w:rPr>
          <w:rFonts w:ascii="Garamond" w:hAnsi="Garamond"/>
          <w:szCs w:val="22"/>
        </w:rPr>
        <w:t xml:space="preserve">Une colonne C0020 </w:t>
      </w:r>
      <w:r w:rsidR="00E925BB">
        <w:rPr>
          <w:rFonts w:ascii="Garamond" w:hAnsi="Garamond"/>
          <w:szCs w:val="22"/>
        </w:rPr>
        <w:t>Contrats à cotisations définies</w:t>
      </w:r>
      <w:r w:rsidRPr="00C20B08">
        <w:rPr>
          <w:rFonts w:ascii="Garamond" w:hAnsi="Garamond"/>
          <w:szCs w:val="22"/>
        </w:rPr>
        <w:t xml:space="preserve"> (</w:t>
      </w:r>
      <w:r w:rsidR="00A36271">
        <w:rPr>
          <w:rFonts w:ascii="Garamond" w:hAnsi="Garamond"/>
          <w:szCs w:val="22"/>
        </w:rPr>
        <w:t xml:space="preserve">hors </w:t>
      </w:r>
      <w:r w:rsidR="00DA10DD">
        <w:rPr>
          <w:rFonts w:ascii="Garamond" w:hAnsi="Garamond"/>
        </w:rPr>
        <w:t>indemnités de fin de carrière</w:t>
      </w:r>
      <w:r w:rsidR="00A36271">
        <w:rPr>
          <w:rFonts w:ascii="Garamond" w:hAnsi="Garamond"/>
        </w:rPr>
        <w:t>, hors</w:t>
      </w:r>
      <w:r w:rsidR="00DA10DD">
        <w:rPr>
          <w:rFonts w:ascii="Garamond" w:hAnsi="Garamond"/>
        </w:rPr>
        <w:t xml:space="preserve"> anciens</w:t>
      </w:r>
      <w:r w:rsidR="00DA10DD" w:rsidRPr="00EF2CE1">
        <w:rPr>
          <w:rFonts w:ascii="Garamond" w:hAnsi="Garamond"/>
        </w:rPr>
        <w:t xml:space="preserve"> </w:t>
      </w:r>
      <w:r w:rsidR="007A2133">
        <w:rPr>
          <w:rFonts w:ascii="Garamond" w:hAnsi="Garamond"/>
        </w:rPr>
        <w:t xml:space="preserve">contrats </w:t>
      </w:r>
      <w:r w:rsidR="00DA10DD" w:rsidRPr="00EF2CE1">
        <w:rPr>
          <w:rFonts w:ascii="Garamond" w:hAnsi="Garamond"/>
        </w:rPr>
        <w:t>article 39</w:t>
      </w:r>
      <w:r w:rsidRPr="00C20B08">
        <w:rPr>
          <w:rFonts w:ascii="Garamond" w:hAnsi="Garamond"/>
          <w:szCs w:val="22"/>
        </w:rPr>
        <w:t>)</w:t>
      </w:r>
    </w:p>
    <w:p w14:paraId="0E16CFDB" w14:textId="77777777" w:rsidR="00BC02DF" w:rsidRPr="00C20B08" w:rsidRDefault="00BC02DF" w:rsidP="00BC02DF">
      <w:pPr>
        <w:pStyle w:val="Paragraphedeliste1"/>
        <w:numPr>
          <w:ilvl w:val="0"/>
          <w:numId w:val="9"/>
        </w:numPr>
        <w:spacing w:before="20"/>
        <w:contextualSpacing w:val="0"/>
        <w:rPr>
          <w:rFonts w:ascii="Garamond" w:hAnsi="Garamond"/>
          <w:szCs w:val="22"/>
        </w:rPr>
      </w:pPr>
      <w:r w:rsidRPr="00C20B08">
        <w:rPr>
          <w:rFonts w:ascii="Garamond" w:hAnsi="Garamond"/>
          <w:szCs w:val="22"/>
        </w:rPr>
        <w:t>Une colonne C0040 Total</w:t>
      </w:r>
    </w:p>
    <w:p w14:paraId="1C30B783" w14:textId="77777777" w:rsidR="00BC02DF" w:rsidRPr="00C20B08" w:rsidRDefault="00BC02DF" w:rsidP="00BC02DF">
      <w:pPr>
        <w:pStyle w:val="Paragraphedeliste1"/>
        <w:spacing w:before="20"/>
        <w:ind w:left="0"/>
        <w:contextualSpacing w:val="0"/>
        <w:rPr>
          <w:rFonts w:ascii="Garamond" w:hAnsi="Garamond"/>
          <w:szCs w:val="22"/>
        </w:rPr>
      </w:pPr>
    </w:p>
    <w:p w14:paraId="13FCE3DA" w14:textId="77777777" w:rsidR="00BC02DF" w:rsidRPr="00C20B08" w:rsidRDefault="00BC02DF" w:rsidP="00BC02DF">
      <w:pPr>
        <w:pStyle w:val="Paragraphedeliste1"/>
        <w:spacing w:before="20"/>
        <w:ind w:left="0"/>
        <w:contextualSpacing w:val="0"/>
        <w:rPr>
          <w:rFonts w:ascii="Garamond" w:hAnsi="Garamond"/>
          <w:szCs w:val="22"/>
        </w:rPr>
      </w:pPr>
      <w:r w:rsidRPr="00C20B08">
        <w:rPr>
          <w:rFonts w:ascii="Garamond" w:hAnsi="Garamond"/>
          <w:b/>
          <w:szCs w:val="22"/>
        </w:rPr>
        <w:t>Validation qui s’applique à toutes les lignes</w:t>
      </w:r>
      <w:r w:rsidRPr="00C20B08">
        <w:rPr>
          <w:rFonts w:ascii="Garamond" w:hAnsi="Garamond"/>
          <w:szCs w:val="22"/>
        </w:rPr>
        <w:t> : {c0040} = {c0010} + {c0020}</w:t>
      </w:r>
      <w:r w:rsidRPr="00C20B08">
        <w:rPr>
          <w:rFonts w:ascii="Garamond" w:hAnsi="Garamond"/>
          <w:szCs w:val="22"/>
        </w:rPr>
        <w:tab/>
      </w:r>
    </w:p>
    <w:p w14:paraId="67BDCBB4" w14:textId="77777777" w:rsidR="00BC02DF" w:rsidRPr="00C20B08" w:rsidRDefault="00BC02DF" w:rsidP="00BC02DF">
      <w:pPr>
        <w:pStyle w:val="Paragraphedeliste1"/>
        <w:spacing w:before="20"/>
        <w:ind w:left="0"/>
        <w:contextualSpacing w:val="0"/>
        <w:rPr>
          <w:rFonts w:ascii="Garamond" w:hAnsi="Garamond"/>
          <w:szCs w:val="22"/>
        </w:rPr>
      </w:pPr>
      <w:r w:rsidRPr="00C20B08">
        <w:rPr>
          <w:rFonts w:ascii="Garamond" w:hAnsi="Garamond"/>
          <w:szCs w:val="22"/>
        </w:rPr>
        <w:t>La somme des C0010 Contrats à prestations définies et C0020 Contrats à cotisations définies doit être égale au montant de la colonne "Total" (c0040).</w:t>
      </w:r>
    </w:p>
    <w:p w14:paraId="773CAA5A" w14:textId="77777777" w:rsidR="00BC02DF" w:rsidRPr="00C20B08" w:rsidRDefault="00BC02DF" w:rsidP="00BC02DF">
      <w:pPr>
        <w:pStyle w:val="Paragraphedeliste1"/>
        <w:spacing w:before="20"/>
        <w:ind w:left="0"/>
        <w:contextualSpacing w:val="0"/>
        <w:rPr>
          <w:rFonts w:ascii="Garamond" w:hAnsi="Garamond"/>
          <w:b/>
          <w:szCs w:val="22"/>
          <w:u w:val="single"/>
        </w:rPr>
      </w:pPr>
      <w:r w:rsidRPr="00C20B08">
        <w:rPr>
          <w:rFonts w:ascii="Garamond" w:hAnsi="Garamond"/>
          <w:b/>
          <w:szCs w:val="22"/>
          <w:u w:val="single"/>
        </w:rPr>
        <w:t>Les clés de répartition</w:t>
      </w:r>
      <w:r w:rsidR="001C7BA7">
        <w:rPr>
          <w:rFonts w:ascii="Garamond" w:hAnsi="Garamond"/>
          <w:b/>
          <w:szCs w:val="22"/>
          <w:u w:val="single"/>
        </w:rPr>
        <w:t xml:space="preserve"> entre C0010 et C0020</w:t>
      </w:r>
      <w:r w:rsidRPr="00C20B08">
        <w:rPr>
          <w:rFonts w:ascii="Garamond" w:hAnsi="Garamond"/>
          <w:b/>
          <w:szCs w:val="22"/>
          <w:u w:val="single"/>
        </w:rPr>
        <w:t xml:space="preserve"> sont à la discrétion de l’organisme</w:t>
      </w:r>
      <w:r w:rsidR="001C7BA7">
        <w:rPr>
          <w:rFonts w:ascii="Garamond" w:hAnsi="Garamond"/>
          <w:b/>
          <w:szCs w:val="22"/>
          <w:u w:val="single"/>
        </w:rPr>
        <w:t>, mais pourront être justifiées si le superviseur le demande</w:t>
      </w:r>
      <w:r w:rsidRPr="00C20B08">
        <w:rPr>
          <w:rFonts w:ascii="Garamond" w:hAnsi="Garamond"/>
          <w:b/>
          <w:szCs w:val="22"/>
          <w:u w:val="single"/>
        </w:rPr>
        <w:t>.</w:t>
      </w:r>
    </w:p>
    <w:p w14:paraId="6D604976" w14:textId="77777777" w:rsidR="00BC02DF" w:rsidRPr="00C20B08" w:rsidRDefault="00BC02DF" w:rsidP="00BC02DF">
      <w:pPr>
        <w:pStyle w:val="Paragraphedeliste1"/>
        <w:spacing w:before="20"/>
        <w:ind w:left="0"/>
        <w:contextualSpacing w:val="0"/>
        <w:rPr>
          <w:rFonts w:ascii="Garamond" w:hAnsi="Garamond"/>
          <w:szCs w:val="22"/>
          <w:u w:val="single"/>
        </w:rPr>
      </w:pPr>
    </w:p>
    <w:p w14:paraId="21EF1CFE" w14:textId="77777777" w:rsidR="00BC02DF" w:rsidRPr="00C20B08" w:rsidRDefault="00BC02DF" w:rsidP="00BC02DF">
      <w:pPr>
        <w:pStyle w:val="Paragraphedeliste"/>
        <w:numPr>
          <w:ilvl w:val="0"/>
          <w:numId w:val="12"/>
        </w:numPr>
        <w:spacing w:after="0" w:line="240" w:lineRule="auto"/>
        <w:rPr>
          <w:rFonts w:ascii="Garamond" w:hAnsi="Garamond" w:cs="Times New Roman"/>
          <w:b/>
        </w:rPr>
      </w:pPr>
      <w:r w:rsidRPr="00C20B08">
        <w:rPr>
          <w:rFonts w:ascii="Garamond" w:eastAsia="Times New Roman" w:hAnsi="Garamond" w:cs="Times New Roman"/>
          <w:b/>
          <w:lang w:eastAsia="fr-FR"/>
        </w:rPr>
        <w:t>L</w:t>
      </w:r>
      <w:r w:rsidRPr="00C20B08">
        <w:rPr>
          <w:rFonts w:ascii="Garamond" w:hAnsi="Garamond" w:cs="Times New Roman"/>
          <w:b/>
        </w:rPr>
        <w:t>ignes</w:t>
      </w:r>
    </w:p>
    <w:p w14:paraId="6D38101E" w14:textId="77777777" w:rsidR="00BC02DF" w:rsidRPr="00C20B08" w:rsidRDefault="00BC02DF" w:rsidP="00BC02DF">
      <w:pPr>
        <w:rPr>
          <w:rFonts w:ascii="Garamond" w:hAnsi="Garamond"/>
        </w:rPr>
      </w:pPr>
    </w:p>
    <w:tbl>
      <w:tblPr>
        <w:tblW w:w="9087" w:type="dxa"/>
        <w:tblInd w:w="55" w:type="dxa"/>
        <w:tblCellMar>
          <w:left w:w="70" w:type="dxa"/>
          <w:right w:w="70" w:type="dxa"/>
        </w:tblCellMar>
        <w:tblLook w:val="04A0" w:firstRow="1" w:lastRow="0" w:firstColumn="1" w:lastColumn="0" w:noHBand="0" w:noVBand="1"/>
      </w:tblPr>
      <w:tblGrid>
        <w:gridCol w:w="2709"/>
        <w:gridCol w:w="850"/>
        <w:gridCol w:w="5528"/>
      </w:tblGrid>
      <w:tr w:rsidR="00BC02DF" w:rsidRPr="00C20B08" w14:paraId="306D8DA3" w14:textId="77777777" w:rsidTr="00A05A3A">
        <w:trPr>
          <w:trHeight w:val="300"/>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14:paraId="1ACF328E" w14:textId="77777777" w:rsidR="00BC02DF" w:rsidRPr="00C20B08" w:rsidRDefault="00BC02DF" w:rsidP="001A63D9">
            <w:pPr>
              <w:spacing w:after="0" w:line="240" w:lineRule="auto"/>
              <w:rPr>
                <w:rFonts w:ascii="Garamond" w:eastAsia="Times New Roman" w:hAnsi="Garamond" w:cs="Times New Roman"/>
                <w:b/>
                <w:bCs/>
                <w:lang w:eastAsia="fr-FR"/>
              </w:rPr>
            </w:pPr>
            <w:r w:rsidRPr="00C20B08">
              <w:rPr>
                <w:rFonts w:ascii="Garamond" w:eastAsia="Times New Roman" w:hAnsi="Garamond" w:cs="Times New Roman"/>
                <w:b/>
                <w:bCs/>
                <w:lang w:eastAsia="fr-FR"/>
              </w:rPr>
              <w:t>Intitulé</w:t>
            </w:r>
            <w:r w:rsidRPr="00C20B08">
              <w:rPr>
                <w:rFonts w:ascii="Garamond" w:eastAsia="Times New Roman" w:hAnsi="Garamond" w:cs="Times New Roman"/>
                <w:b/>
                <w:bCs/>
                <w:lang w:eastAsia="fr-FR"/>
              </w:rPr>
              <w:tab/>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D33B8B" w14:textId="77777777" w:rsidR="00BC02DF" w:rsidRPr="00C20B08" w:rsidRDefault="00BC02DF" w:rsidP="001A63D9">
            <w:pPr>
              <w:spacing w:after="0" w:line="240" w:lineRule="auto"/>
              <w:rPr>
                <w:rFonts w:ascii="Garamond" w:eastAsia="Times New Roman" w:hAnsi="Garamond" w:cs="Times New Roman"/>
                <w:b/>
                <w:bCs/>
                <w:lang w:eastAsia="fr-FR"/>
              </w:rPr>
            </w:pPr>
            <w:r w:rsidRPr="00C20B08">
              <w:rPr>
                <w:rFonts w:ascii="Garamond" w:eastAsia="Times New Roman" w:hAnsi="Garamond" w:cs="Times New Roman"/>
                <w:b/>
                <w:bCs/>
                <w:lang w:eastAsia="fr-FR"/>
              </w:rPr>
              <w:t>Ligne</w:t>
            </w:r>
          </w:p>
        </w:tc>
        <w:tc>
          <w:tcPr>
            <w:tcW w:w="5528" w:type="dxa"/>
            <w:tcBorders>
              <w:top w:val="single" w:sz="4" w:space="0" w:color="auto"/>
              <w:left w:val="single" w:sz="4" w:space="0" w:color="auto"/>
              <w:bottom w:val="single" w:sz="4" w:space="0" w:color="auto"/>
              <w:right w:val="single" w:sz="4" w:space="0" w:color="auto"/>
            </w:tcBorders>
          </w:tcPr>
          <w:p w14:paraId="57A001AF" w14:textId="77777777" w:rsidR="00BC02DF" w:rsidRPr="00C20B08" w:rsidRDefault="00BC02DF" w:rsidP="001A63D9">
            <w:pPr>
              <w:spacing w:after="0" w:line="240" w:lineRule="auto"/>
              <w:rPr>
                <w:rFonts w:ascii="Garamond" w:eastAsia="Times New Roman" w:hAnsi="Garamond" w:cs="Times New Roman"/>
                <w:b/>
                <w:bCs/>
                <w:lang w:eastAsia="fr-FR"/>
              </w:rPr>
            </w:pPr>
            <w:r w:rsidRPr="00C20B08">
              <w:rPr>
                <w:rFonts w:ascii="Garamond" w:eastAsia="Times New Roman" w:hAnsi="Garamond" w:cs="Times New Roman"/>
                <w:b/>
                <w:bCs/>
                <w:lang w:eastAsia="fr-FR"/>
              </w:rPr>
              <w:t>Définition et formule</w:t>
            </w:r>
          </w:p>
        </w:tc>
      </w:tr>
      <w:tr w:rsidR="00BC02DF" w:rsidRPr="00C20B08" w14:paraId="35D9EEDB" w14:textId="77777777" w:rsidTr="00A05A3A">
        <w:trPr>
          <w:trHeight w:val="300"/>
        </w:trPr>
        <w:tc>
          <w:tcPr>
            <w:tcW w:w="2709" w:type="dxa"/>
            <w:tcBorders>
              <w:top w:val="nil"/>
              <w:left w:val="single" w:sz="4" w:space="0" w:color="auto"/>
              <w:bottom w:val="single" w:sz="4" w:space="0" w:color="auto"/>
              <w:right w:val="single" w:sz="4" w:space="0" w:color="auto"/>
            </w:tcBorders>
            <w:shd w:val="clear" w:color="auto" w:fill="auto"/>
            <w:vAlign w:val="center"/>
            <w:hideMark/>
          </w:tcPr>
          <w:p w14:paraId="75DF71BD" w14:textId="77777777" w:rsidR="00BC02DF" w:rsidRPr="00C20B08" w:rsidRDefault="00BC02DF" w:rsidP="00DF6746">
            <w:pPr>
              <w:spacing w:after="0" w:line="240" w:lineRule="auto"/>
              <w:jc w:val="center"/>
              <w:rPr>
                <w:rFonts w:ascii="Garamond" w:eastAsia="Times New Roman" w:hAnsi="Garamond" w:cs="Times New Roman"/>
                <w:lang w:eastAsia="fr-FR"/>
              </w:rPr>
            </w:pPr>
            <w:r w:rsidRPr="00C20B08">
              <w:rPr>
                <w:rFonts w:ascii="Garamond" w:eastAsia="Times New Roman" w:hAnsi="Garamond" w:cs="Times New Roman"/>
                <w:lang w:eastAsia="fr-FR"/>
              </w:rPr>
              <w:t>Valeur totale des placements</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181B6376" w14:textId="77777777" w:rsidR="00BC02DF" w:rsidRPr="00C20B08" w:rsidRDefault="00BC02DF" w:rsidP="001A63D9">
            <w:pPr>
              <w:spacing w:after="0" w:line="240" w:lineRule="auto"/>
              <w:jc w:val="center"/>
              <w:rPr>
                <w:rFonts w:ascii="Garamond" w:eastAsia="Times New Roman" w:hAnsi="Garamond" w:cs="Times New Roman"/>
                <w:lang w:eastAsia="fr-FR"/>
              </w:rPr>
            </w:pPr>
            <w:r w:rsidRPr="00C20B08">
              <w:rPr>
                <w:rFonts w:ascii="Garamond" w:eastAsia="Times New Roman" w:hAnsi="Garamond" w:cs="Times New Roman"/>
                <w:lang w:eastAsia="fr-FR"/>
              </w:rPr>
              <w:t>R0010</w:t>
            </w:r>
          </w:p>
        </w:tc>
        <w:tc>
          <w:tcPr>
            <w:tcW w:w="5528" w:type="dxa"/>
            <w:tcBorders>
              <w:top w:val="nil"/>
              <w:left w:val="single" w:sz="4" w:space="0" w:color="auto"/>
              <w:bottom w:val="single" w:sz="4" w:space="0" w:color="auto"/>
              <w:right w:val="single" w:sz="4" w:space="0" w:color="auto"/>
            </w:tcBorders>
          </w:tcPr>
          <w:p w14:paraId="1D5736B1" w14:textId="1EDD04F9" w:rsidR="00BC02DF" w:rsidRPr="00C20B08" w:rsidRDefault="00BC02DF" w:rsidP="001A63D9">
            <w:pPr>
              <w:spacing w:after="0" w:line="240" w:lineRule="auto"/>
              <w:rPr>
                <w:rFonts w:ascii="Garamond" w:eastAsia="Times New Roman" w:hAnsi="Garamond" w:cs="Times New Roman"/>
                <w:lang w:eastAsia="fr-FR"/>
              </w:rPr>
            </w:pPr>
            <w:r w:rsidRPr="00C20B08">
              <w:rPr>
                <w:rFonts w:ascii="Garamond" w:eastAsia="Times New Roman" w:hAnsi="Garamond" w:cs="Times New Roman"/>
                <w:lang w:eastAsia="fr-FR"/>
              </w:rPr>
              <w:t>Total des placements figurant à l’actif du bilan.</w:t>
            </w:r>
          </w:p>
        </w:tc>
      </w:tr>
      <w:tr w:rsidR="00BC02DF" w:rsidRPr="00C20B08" w14:paraId="30C4FA41" w14:textId="77777777" w:rsidTr="00A05A3A">
        <w:trPr>
          <w:trHeight w:val="300"/>
        </w:trPr>
        <w:tc>
          <w:tcPr>
            <w:tcW w:w="2709" w:type="dxa"/>
            <w:tcBorders>
              <w:top w:val="nil"/>
              <w:left w:val="single" w:sz="4" w:space="0" w:color="auto"/>
              <w:bottom w:val="single" w:sz="4" w:space="0" w:color="auto"/>
              <w:right w:val="single" w:sz="4" w:space="0" w:color="auto"/>
            </w:tcBorders>
            <w:shd w:val="clear" w:color="auto" w:fill="auto"/>
            <w:vAlign w:val="center"/>
            <w:hideMark/>
          </w:tcPr>
          <w:p w14:paraId="04AD1723" w14:textId="77777777" w:rsidR="00BC02DF" w:rsidRPr="00C20B08" w:rsidRDefault="00BC02DF" w:rsidP="00DF6746">
            <w:pPr>
              <w:spacing w:after="0" w:line="240" w:lineRule="auto"/>
              <w:jc w:val="center"/>
              <w:rPr>
                <w:rFonts w:ascii="Garamond" w:eastAsia="Times New Roman" w:hAnsi="Garamond" w:cs="Times New Roman"/>
                <w:lang w:eastAsia="fr-FR"/>
              </w:rPr>
            </w:pPr>
            <w:r w:rsidRPr="00C20B08">
              <w:rPr>
                <w:rFonts w:ascii="Garamond" w:eastAsia="Times New Roman" w:hAnsi="Garamond" w:cs="Times New Roman"/>
                <w:lang w:eastAsia="fr-FR"/>
              </w:rPr>
              <w:t>Placements immobiliers (hors immeubles d'exploitation)</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7F5D4971" w14:textId="77777777" w:rsidR="00BC02DF" w:rsidRPr="00C20B08" w:rsidRDefault="00BC02DF" w:rsidP="001A63D9">
            <w:pPr>
              <w:spacing w:after="0" w:line="240" w:lineRule="auto"/>
              <w:jc w:val="center"/>
              <w:rPr>
                <w:rFonts w:ascii="Garamond" w:eastAsia="Times New Roman" w:hAnsi="Garamond" w:cs="Times New Roman"/>
                <w:lang w:eastAsia="fr-FR"/>
              </w:rPr>
            </w:pPr>
            <w:r w:rsidRPr="00C20B08">
              <w:rPr>
                <w:rFonts w:ascii="Garamond" w:eastAsia="Times New Roman" w:hAnsi="Garamond" w:cs="Times New Roman"/>
                <w:lang w:eastAsia="fr-FR"/>
              </w:rPr>
              <w:t>R0020</w:t>
            </w:r>
          </w:p>
        </w:tc>
        <w:tc>
          <w:tcPr>
            <w:tcW w:w="5528" w:type="dxa"/>
            <w:tcBorders>
              <w:top w:val="nil"/>
              <w:left w:val="single" w:sz="4" w:space="0" w:color="auto"/>
              <w:bottom w:val="single" w:sz="4" w:space="0" w:color="auto"/>
              <w:right w:val="single" w:sz="4" w:space="0" w:color="auto"/>
            </w:tcBorders>
          </w:tcPr>
          <w:p w14:paraId="444250AD" w14:textId="73AF9705" w:rsidR="00E9383B" w:rsidRDefault="00BC02DF" w:rsidP="001A63D9">
            <w:pPr>
              <w:spacing w:after="0" w:line="240" w:lineRule="auto"/>
              <w:rPr>
                <w:rFonts w:ascii="Garamond" w:eastAsia="Times New Roman" w:hAnsi="Garamond" w:cs="Times New Roman"/>
                <w:lang w:eastAsia="fr-FR"/>
              </w:rPr>
            </w:pPr>
            <w:r w:rsidRPr="00C20B08">
              <w:rPr>
                <w:rFonts w:ascii="Garamond" w:eastAsia="Times New Roman" w:hAnsi="Garamond" w:cs="Times New Roman"/>
                <w:lang w:eastAsia="fr-FR"/>
              </w:rPr>
              <w:t>Montant des biens immobiliers, y compris en construction, autres que détenus pour usage propre</w:t>
            </w:r>
            <w:r w:rsidR="00632126">
              <w:rPr>
                <w:rFonts w:ascii="Garamond" w:eastAsia="Times New Roman" w:hAnsi="Garamond" w:cs="Times New Roman"/>
                <w:lang w:eastAsia="fr-FR"/>
              </w:rPr>
              <w:t xml:space="preserve"> (classification AN.1 et AN.2 de l’annexe 7.1 du SEC2010).</w:t>
            </w:r>
          </w:p>
          <w:p w14:paraId="43212CAA" w14:textId="77777777" w:rsidR="00317B5B" w:rsidRDefault="00317B5B" w:rsidP="001A63D9">
            <w:pPr>
              <w:spacing w:after="0" w:line="240" w:lineRule="auto"/>
              <w:rPr>
                <w:rFonts w:ascii="Garamond" w:eastAsia="Times New Roman" w:hAnsi="Garamond" w:cs="Times New Roman"/>
                <w:lang w:eastAsia="fr-FR"/>
              </w:rPr>
            </w:pPr>
          </w:p>
          <w:p w14:paraId="1F941921" w14:textId="141F2A1F" w:rsidR="00E9383B" w:rsidRPr="0042097E" w:rsidRDefault="00632126" w:rsidP="00E9383B">
            <w:pPr>
              <w:rPr>
                <w:rFonts w:ascii="Garamond" w:hAnsi="Garamond"/>
              </w:rPr>
            </w:pPr>
            <w:r>
              <w:rPr>
                <w:rFonts w:ascii="Garamond" w:hAnsi="Garamond"/>
              </w:rPr>
              <w:t>C</w:t>
            </w:r>
            <w:r w:rsidR="00E9383B" w:rsidRPr="00C20B08">
              <w:rPr>
                <w:rFonts w:ascii="Garamond" w:hAnsi="Garamond"/>
              </w:rPr>
              <w:t xml:space="preserve">ode 48 </w:t>
            </w:r>
            <w:r w:rsidR="00E9383B">
              <w:rPr>
                <w:rFonts w:ascii="Garamond" w:hAnsi="Garamond"/>
              </w:rPr>
              <w:t>11 0</w:t>
            </w:r>
            <w:r>
              <w:rPr>
                <w:rFonts w:ascii="Garamond" w:hAnsi="Garamond"/>
              </w:rPr>
              <w:t xml:space="preserve"> dans l’annexe 1 du règlement</w:t>
            </w:r>
            <w:r w:rsidR="00E9383B" w:rsidRPr="0042097E">
              <w:rPr>
                <w:rFonts w:ascii="Garamond" w:hAnsi="Garamond"/>
              </w:rPr>
              <w:t xml:space="preserve"> </w:t>
            </w:r>
            <w:hyperlink r:id="rId9" w:history="1">
              <w:r>
                <w:rPr>
                  <w:rStyle w:val="Lienhypertexte"/>
                  <w:rFonts w:ascii="Garamond" w:hAnsi="Garamond"/>
                </w:rPr>
                <w:t>N°</w:t>
              </w:r>
              <w:r w:rsidR="00E9383B" w:rsidRPr="0042097E">
                <w:rPr>
                  <w:rStyle w:val="Lienhypertexte"/>
                  <w:rFonts w:ascii="Garamond" w:hAnsi="Garamond"/>
                </w:rPr>
                <w:t xml:space="preserve"> 250/2009</w:t>
              </w:r>
            </w:hyperlink>
            <w:r>
              <w:rPr>
                <w:rFonts w:ascii="Garamond" w:hAnsi="Garamond"/>
              </w:rPr>
              <w:t xml:space="preserve"> de la commission</w:t>
            </w:r>
            <w:r w:rsidR="00E9383B" w:rsidRPr="0042097E">
              <w:rPr>
                <w:rFonts w:ascii="Garamond" w:hAnsi="Garamond"/>
              </w:rPr>
              <w:t>, extrait</w:t>
            </w:r>
            <w:r>
              <w:rPr>
                <w:rFonts w:ascii="Garamond" w:hAnsi="Garamond"/>
              </w:rPr>
              <w:t xml:space="preserve"> </w:t>
            </w:r>
            <w:r w:rsidR="00E9383B" w:rsidRPr="0042097E">
              <w:rPr>
                <w:rFonts w:ascii="Garamond" w:hAnsi="Garamond"/>
              </w:rPr>
              <w:t>:</w:t>
            </w:r>
          </w:p>
          <w:p w14:paraId="7DC95B6A" w14:textId="66023D05" w:rsidR="00BC02DF" w:rsidRPr="00C20B08" w:rsidRDefault="00E9383B" w:rsidP="001A63D9">
            <w:pPr>
              <w:spacing w:after="0" w:line="240" w:lineRule="auto"/>
              <w:rPr>
                <w:rFonts w:ascii="Garamond" w:eastAsia="Times New Roman" w:hAnsi="Garamond" w:cs="Times New Roman"/>
                <w:lang w:eastAsia="fr-FR"/>
              </w:rPr>
            </w:pPr>
            <w:r>
              <w:rPr>
                <w:rFonts w:ascii="Garamond" w:eastAsia="Times New Roman" w:hAnsi="Garamond" w:cs="Times New Roman"/>
                <w:lang w:eastAsia="fr-FR"/>
              </w:rPr>
              <w:t>« </w:t>
            </w:r>
            <w:r w:rsidRPr="00E9383B">
              <w:rPr>
                <w:rFonts w:ascii="Garamond" w:eastAsia="Times New Roman" w:hAnsi="Garamond" w:cs="Times New Roman"/>
                <w:lang w:eastAsia="fr-FR"/>
              </w:rPr>
              <w:t>Cette variable couvre l'ensemble des terrains et constructions appartenant au fonds de pension.</w:t>
            </w:r>
            <w:r>
              <w:rPr>
                <w:rFonts w:ascii="Garamond" w:eastAsia="Times New Roman" w:hAnsi="Garamond" w:cs="Times New Roman"/>
                <w:lang w:eastAsia="fr-FR"/>
              </w:rPr>
              <w:t> »</w:t>
            </w:r>
          </w:p>
        </w:tc>
      </w:tr>
      <w:tr w:rsidR="00BC02DF" w:rsidRPr="00C20B08" w14:paraId="09BEECBA" w14:textId="77777777" w:rsidTr="00A05A3A">
        <w:trPr>
          <w:trHeight w:val="300"/>
        </w:trPr>
        <w:tc>
          <w:tcPr>
            <w:tcW w:w="2709" w:type="dxa"/>
            <w:tcBorders>
              <w:top w:val="nil"/>
              <w:left w:val="single" w:sz="4" w:space="0" w:color="auto"/>
              <w:bottom w:val="single" w:sz="4" w:space="0" w:color="auto"/>
              <w:right w:val="single" w:sz="4" w:space="0" w:color="auto"/>
            </w:tcBorders>
            <w:shd w:val="clear" w:color="auto" w:fill="auto"/>
            <w:vAlign w:val="center"/>
            <w:hideMark/>
          </w:tcPr>
          <w:p w14:paraId="0FC15620" w14:textId="716955BB" w:rsidR="00BC02DF" w:rsidRPr="00C20B08" w:rsidRDefault="00BC02DF" w:rsidP="00F358AC">
            <w:pPr>
              <w:spacing w:after="0" w:line="240" w:lineRule="auto"/>
              <w:jc w:val="center"/>
              <w:rPr>
                <w:rFonts w:ascii="Garamond" w:eastAsia="Times New Roman" w:hAnsi="Garamond" w:cs="Times New Roman"/>
                <w:lang w:eastAsia="fr-FR"/>
              </w:rPr>
            </w:pPr>
            <w:r w:rsidRPr="00C20B08">
              <w:rPr>
                <w:rFonts w:ascii="Garamond" w:eastAsia="Times New Roman" w:hAnsi="Garamond" w:cs="Times New Roman"/>
                <w:lang w:eastAsia="fr-FR"/>
              </w:rPr>
              <w:lastRenderedPageBreak/>
              <w:t>Actions, parts et autres titres à revenu variable</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0711BA2F" w14:textId="77777777" w:rsidR="00BC02DF" w:rsidRPr="00C20B08" w:rsidRDefault="00BC02DF" w:rsidP="001A63D9">
            <w:pPr>
              <w:spacing w:after="0" w:line="240" w:lineRule="auto"/>
              <w:jc w:val="center"/>
              <w:rPr>
                <w:rFonts w:ascii="Garamond" w:eastAsia="Times New Roman" w:hAnsi="Garamond" w:cs="Times New Roman"/>
                <w:lang w:eastAsia="fr-FR"/>
              </w:rPr>
            </w:pPr>
            <w:r w:rsidRPr="00C20B08">
              <w:rPr>
                <w:rFonts w:ascii="Garamond" w:eastAsia="Times New Roman" w:hAnsi="Garamond" w:cs="Times New Roman"/>
                <w:lang w:eastAsia="fr-FR"/>
              </w:rPr>
              <w:t>R0030</w:t>
            </w:r>
          </w:p>
        </w:tc>
        <w:tc>
          <w:tcPr>
            <w:tcW w:w="5528" w:type="dxa"/>
            <w:tcBorders>
              <w:top w:val="nil"/>
              <w:left w:val="single" w:sz="4" w:space="0" w:color="auto"/>
              <w:bottom w:val="single" w:sz="4" w:space="0" w:color="auto"/>
              <w:right w:val="single" w:sz="4" w:space="0" w:color="auto"/>
            </w:tcBorders>
          </w:tcPr>
          <w:p w14:paraId="470A168D" w14:textId="1977A57B" w:rsidR="00BC02DF" w:rsidRPr="00C20B08" w:rsidRDefault="00BC02DF" w:rsidP="001A63D9">
            <w:pPr>
              <w:rPr>
                <w:rFonts w:ascii="Garamond" w:hAnsi="Garamond"/>
              </w:rPr>
            </w:pPr>
            <w:r w:rsidRPr="00C20B08">
              <w:rPr>
                <w:rFonts w:ascii="Garamond" w:hAnsi="Garamond"/>
              </w:rPr>
              <w:t>Montant total des actions, cotées et non cotées</w:t>
            </w:r>
            <w:r w:rsidR="00632126">
              <w:rPr>
                <w:rFonts w:ascii="Garamond" w:hAnsi="Garamond"/>
              </w:rPr>
              <w:t xml:space="preserve"> </w:t>
            </w:r>
            <w:r w:rsidR="00632126">
              <w:rPr>
                <w:rFonts w:ascii="Garamond" w:eastAsia="Times New Roman" w:hAnsi="Garamond" w:cs="Times New Roman"/>
                <w:lang w:eastAsia="fr-FR"/>
              </w:rPr>
              <w:t>(classification AF.51 de l’annexe 7.1 du SEC2010).</w:t>
            </w:r>
          </w:p>
          <w:p w14:paraId="0A2FD51C" w14:textId="044A9E2F" w:rsidR="00632126" w:rsidRPr="0042097E" w:rsidRDefault="00632126" w:rsidP="00632126">
            <w:pPr>
              <w:rPr>
                <w:rFonts w:ascii="Garamond" w:hAnsi="Garamond"/>
              </w:rPr>
            </w:pPr>
            <w:r>
              <w:rPr>
                <w:rFonts w:ascii="Garamond" w:hAnsi="Garamond"/>
              </w:rPr>
              <w:t>C</w:t>
            </w:r>
            <w:r w:rsidRPr="00C20B08">
              <w:rPr>
                <w:rFonts w:ascii="Garamond" w:hAnsi="Garamond"/>
              </w:rPr>
              <w:t xml:space="preserve">ode 48 </w:t>
            </w:r>
            <w:r>
              <w:rPr>
                <w:rFonts w:ascii="Garamond" w:hAnsi="Garamond"/>
              </w:rPr>
              <w:t>13 0 dans l’annexe 1 du règlement</w:t>
            </w:r>
            <w:r w:rsidRPr="0042097E">
              <w:rPr>
                <w:rFonts w:ascii="Garamond" w:hAnsi="Garamond"/>
              </w:rPr>
              <w:t xml:space="preserve"> </w:t>
            </w:r>
            <w:hyperlink r:id="rId10" w:history="1">
              <w:r>
                <w:rPr>
                  <w:rStyle w:val="Lienhypertexte"/>
                  <w:rFonts w:ascii="Garamond" w:hAnsi="Garamond"/>
                </w:rPr>
                <w:t>N°</w:t>
              </w:r>
              <w:r w:rsidRPr="0042097E">
                <w:rPr>
                  <w:rStyle w:val="Lienhypertexte"/>
                  <w:rFonts w:ascii="Garamond" w:hAnsi="Garamond"/>
                </w:rPr>
                <w:t xml:space="preserve"> 250/2009</w:t>
              </w:r>
            </w:hyperlink>
            <w:r>
              <w:rPr>
                <w:rFonts w:ascii="Garamond" w:hAnsi="Garamond"/>
              </w:rPr>
              <w:t xml:space="preserve"> de la commission</w:t>
            </w:r>
            <w:r w:rsidRPr="0042097E">
              <w:rPr>
                <w:rFonts w:ascii="Garamond" w:hAnsi="Garamond"/>
              </w:rPr>
              <w:t>, extrait</w:t>
            </w:r>
            <w:r>
              <w:rPr>
                <w:rFonts w:ascii="Garamond" w:hAnsi="Garamond"/>
              </w:rPr>
              <w:t xml:space="preserve"> </w:t>
            </w:r>
            <w:r w:rsidRPr="0042097E">
              <w:rPr>
                <w:rFonts w:ascii="Garamond" w:hAnsi="Garamond"/>
              </w:rPr>
              <w:t>:</w:t>
            </w:r>
          </w:p>
          <w:p w14:paraId="26A45789" w14:textId="74C4DB92" w:rsidR="00BC02DF" w:rsidRPr="00C20B08" w:rsidRDefault="00632126" w:rsidP="001A63D9">
            <w:pPr>
              <w:rPr>
                <w:rFonts w:ascii="Garamond" w:hAnsi="Garamond"/>
              </w:rPr>
            </w:pPr>
            <w:r w:rsidRPr="00DA10DD">
              <w:rPr>
                <w:rFonts w:ascii="Garamond" w:eastAsia="Times New Roman" w:hAnsi="Garamond" w:cs="Times New Roman"/>
                <w:lang w:eastAsia="fr-FR"/>
              </w:rPr>
              <w:t>« Cette variable couvre l'ensemble des actions cotées et non cotées en bourse, ainsi que les autres titres à revenu variable, à</w:t>
            </w:r>
            <w:r>
              <w:rPr>
                <w:rFonts w:ascii="Garamond" w:eastAsia="Times New Roman" w:hAnsi="Garamond" w:cs="Times New Roman"/>
                <w:lang w:eastAsia="fr-FR"/>
              </w:rPr>
              <w:t xml:space="preserve"> </w:t>
            </w:r>
            <w:r w:rsidRPr="00DA10DD">
              <w:rPr>
                <w:rFonts w:ascii="Garamond" w:eastAsia="Times New Roman" w:hAnsi="Garamond" w:cs="Times New Roman"/>
                <w:lang w:eastAsia="fr-FR"/>
              </w:rPr>
              <w:t>l'exception de ceux relevant des variables 48 12 0 et 48 14 0. »</w:t>
            </w:r>
          </w:p>
        </w:tc>
      </w:tr>
      <w:tr w:rsidR="00BC02DF" w:rsidRPr="00C20B08" w14:paraId="6FE1A303" w14:textId="77777777" w:rsidTr="00A05A3A">
        <w:trPr>
          <w:trHeight w:val="300"/>
        </w:trPr>
        <w:tc>
          <w:tcPr>
            <w:tcW w:w="2709" w:type="dxa"/>
            <w:tcBorders>
              <w:top w:val="nil"/>
              <w:left w:val="single" w:sz="4" w:space="0" w:color="auto"/>
              <w:bottom w:val="single" w:sz="4" w:space="0" w:color="auto"/>
              <w:right w:val="single" w:sz="4" w:space="0" w:color="auto"/>
            </w:tcBorders>
            <w:shd w:val="clear" w:color="auto" w:fill="auto"/>
            <w:vAlign w:val="center"/>
            <w:hideMark/>
          </w:tcPr>
          <w:p w14:paraId="7C8C59C2" w14:textId="77777777" w:rsidR="00BC02DF" w:rsidRPr="00C20B08" w:rsidRDefault="00BC02DF" w:rsidP="00DF6746">
            <w:pPr>
              <w:spacing w:after="0" w:line="240" w:lineRule="auto"/>
              <w:jc w:val="center"/>
              <w:rPr>
                <w:rFonts w:ascii="Garamond" w:eastAsia="Times New Roman" w:hAnsi="Garamond" w:cs="Times New Roman"/>
                <w:lang w:eastAsia="fr-FR"/>
              </w:rPr>
            </w:pPr>
            <w:r w:rsidRPr="00C20B08">
              <w:rPr>
                <w:rFonts w:ascii="Garamond" w:eastAsia="Times New Roman" w:hAnsi="Garamond" w:cs="Times New Roman"/>
                <w:lang w:eastAsia="fr-FR"/>
              </w:rPr>
              <w:t>Actions et titres cotés</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2F5C5E8A" w14:textId="77777777" w:rsidR="00BC02DF" w:rsidRPr="00C20B08" w:rsidRDefault="00BC02DF" w:rsidP="001A63D9">
            <w:pPr>
              <w:spacing w:after="0" w:line="240" w:lineRule="auto"/>
              <w:jc w:val="center"/>
              <w:rPr>
                <w:rFonts w:ascii="Garamond" w:eastAsia="Times New Roman" w:hAnsi="Garamond" w:cs="Times New Roman"/>
                <w:lang w:eastAsia="fr-FR"/>
              </w:rPr>
            </w:pPr>
            <w:r w:rsidRPr="00C20B08">
              <w:rPr>
                <w:rFonts w:ascii="Garamond" w:eastAsia="Times New Roman" w:hAnsi="Garamond" w:cs="Times New Roman"/>
                <w:lang w:eastAsia="fr-FR"/>
              </w:rPr>
              <w:t>R0040</w:t>
            </w:r>
          </w:p>
        </w:tc>
        <w:tc>
          <w:tcPr>
            <w:tcW w:w="5528" w:type="dxa"/>
            <w:tcBorders>
              <w:top w:val="nil"/>
              <w:left w:val="single" w:sz="4" w:space="0" w:color="auto"/>
              <w:bottom w:val="single" w:sz="4" w:space="0" w:color="auto"/>
              <w:right w:val="single" w:sz="4" w:space="0" w:color="auto"/>
            </w:tcBorders>
          </w:tcPr>
          <w:p w14:paraId="05A39FBD" w14:textId="5A8FFF45" w:rsidR="00BC02DF" w:rsidRPr="00C20B08" w:rsidRDefault="00BC02DF" w:rsidP="001A63D9">
            <w:pPr>
              <w:rPr>
                <w:rFonts w:ascii="Garamond" w:hAnsi="Garamond"/>
              </w:rPr>
            </w:pPr>
            <w:r w:rsidRPr="00C20B08">
              <w:rPr>
                <w:rFonts w:ascii="Garamond" w:hAnsi="Garamond"/>
              </w:rPr>
              <w:t>Actions représentant le capital d’une société, sa propriété par exemple, négociées sur un marché réglementé ou un système multilatéral de négociation au sens de la directive 2004/39/CE</w:t>
            </w:r>
            <w:r w:rsidR="000C623D">
              <w:rPr>
                <w:rFonts w:ascii="Garamond" w:hAnsi="Garamond"/>
              </w:rPr>
              <w:t xml:space="preserve"> (</w:t>
            </w:r>
            <w:r w:rsidR="000C623D" w:rsidRPr="000C623D">
              <w:rPr>
                <w:rFonts w:ascii="Garamond" w:hAnsi="Garamond"/>
              </w:rPr>
              <w:t>classification AF.51</w:t>
            </w:r>
            <w:r w:rsidR="000C623D">
              <w:rPr>
                <w:rFonts w:ascii="Garamond" w:hAnsi="Garamond"/>
              </w:rPr>
              <w:t>1</w:t>
            </w:r>
            <w:r w:rsidR="000C623D" w:rsidRPr="000C623D">
              <w:rPr>
                <w:rFonts w:ascii="Garamond" w:hAnsi="Garamond"/>
              </w:rPr>
              <w:t xml:space="preserve"> de l’annexe 7.1 du SEC2010)</w:t>
            </w:r>
            <w:r w:rsidRPr="00C20B08">
              <w:rPr>
                <w:rFonts w:ascii="Garamond" w:hAnsi="Garamond"/>
              </w:rPr>
              <w:t>.</w:t>
            </w:r>
          </w:p>
          <w:p w14:paraId="2417DB2C" w14:textId="33F317E2" w:rsidR="000C623D" w:rsidRPr="0042097E" w:rsidRDefault="000C623D" w:rsidP="000C623D">
            <w:pPr>
              <w:rPr>
                <w:rFonts w:ascii="Garamond" w:hAnsi="Garamond"/>
              </w:rPr>
            </w:pPr>
            <w:r>
              <w:rPr>
                <w:rFonts w:ascii="Garamond" w:hAnsi="Garamond"/>
              </w:rPr>
              <w:t>C</w:t>
            </w:r>
            <w:r w:rsidRPr="00C20B08">
              <w:rPr>
                <w:rFonts w:ascii="Garamond" w:hAnsi="Garamond"/>
              </w:rPr>
              <w:t xml:space="preserve">ode 48 </w:t>
            </w:r>
            <w:r>
              <w:rPr>
                <w:rFonts w:ascii="Garamond" w:hAnsi="Garamond"/>
              </w:rPr>
              <w:t>13 1 dans l’annexe 1 du règlement</w:t>
            </w:r>
            <w:r w:rsidRPr="0042097E">
              <w:rPr>
                <w:rFonts w:ascii="Garamond" w:hAnsi="Garamond"/>
              </w:rPr>
              <w:t xml:space="preserve"> </w:t>
            </w:r>
            <w:hyperlink r:id="rId11" w:history="1">
              <w:r>
                <w:rPr>
                  <w:rStyle w:val="Lienhypertexte"/>
                  <w:rFonts w:ascii="Garamond" w:hAnsi="Garamond"/>
                </w:rPr>
                <w:t>N°</w:t>
              </w:r>
              <w:r w:rsidRPr="0042097E">
                <w:rPr>
                  <w:rStyle w:val="Lienhypertexte"/>
                  <w:rFonts w:ascii="Garamond" w:hAnsi="Garamond"/>
                </w:rPr>
                <w:t xml:space="preserve"> 250/2009</w:t>
              </w:r>
            </w:hyperlink>
            <w:r>
              <w:rPr>
                <w:rFonts w:ascii="Garamond" w:hAnsi="Garamond"/>
              </w:rPr>
              <w:t xml:space="preserve"> de la commission</w:t>
            </w:r>
            <w:r w:rsidRPr="0042097E">
              <w:rPr>
                <w:rFonts w:ascii="Garamond" w:hAnsi="Garamond"/>
              </w:rPr>
              <w:t>, extrait</w:t>
            </w:r>
            <w:r>
              <w:rPr>
                <w:rFonts w:ascii="Garamond" w:hAnsi="Garamond"/>
              </w:rPr>
              <w:t xml:space="preserve"> </w:t>
            </w:r>
            <w:r w:rsidRPr="0042097E">
              <w:rPr>
                <w:rFonts w:ascii="Garamond" w:hAnsi="Garamond"/>
              </w:rPr>
              <w:t>:</w:t>
            </w:r>
          </w:p>
          <w:p w14:paraId="6C4D6326" w14:textId="5A24C208" w:rsidR="0042097E" w:rsidRPr="00C20B08" w:rsidRDefault="000C623D" w:rsidP="001A63D9">
            <w:pPr>
              <w:rPr>
                <w:rFonts w:ascii="Garamond" w:hAnsi="Garamond"/>
              </w:rPr>
            </w:pPr>
            <w:r w:rsidRPr="00C20B08" w:rsidDel="000C623D">
              <w:rPr>
                <w:rFonts w:ascii="Garamond" w:hAnsi="Garamond"/>
              </w:rPr>
              <w:t xml:space="preserve"> </w:t>
            </w:r>
            <w:r w:rsidR="00632126">
              <w:rPr>
                <w:rFonts w:ascii="Garamond" w:hAnsi="Garamond"/>
              </w:rPr>
              <w:t>« </w:t>
            </w:r>
            <w:r w:rsidRPr="000C623D">
              <w:rPr>
                <w:rFonts w:ascii="Garamond" w:hAnsi="Garamond"/>
              </w:rPr>
              <w:t>Cette variable comprend l'ensemble des actions cotées en bourse</w:t>
            </w:r>
            <w:r>
              <w:rPr>
                <w:rFonts w:ascii="Garamond" w:hAnsi="Garamond"/>
              </w:rPr>
              <w:t xml:space="preserve">. </w:t>
            </w:r>
            <w:r w:rsidR="00632126">
              <w:rPr>
                <w:rFonts w:ascii="Garamond" w:hAnsi="Garamond"/>
              </w:rPr>
              <w:t>»</w:t>
            </w:r>
          </w:p>
        </w:tc>
      </w:tr>
      <w:tr w:rsidR="00BC02DF" w:rsidRPr="00C20B08" w14:paraId="0D500B4B" w14:textId="77777777" w:rsidTr="00A05A3A">
        <w:trPr>
          <w:trHeight w:val="300"/>
        </w:trPr>
        <w:tc>
          <w:tcPr>
            <w:tcW w:w="2709" w:type="dxa"/>
            <w:tcBorders>
              <w:top w:val="nil"/>
              <w:left w:val="single" w:sz="4" w:space="0" w:color="auto"/>
              <w:bottom w:val="single" w:sz="4" w:space="0" w:color="auto"/>
              <w:right w:val="single" w:sz="4" w:space="0" w:color="auto"/>
            </w:tcBorders>
            <w:shd w:val="clear" w:color="auto" w:fill="auto"/>
            <w:vAlign w:val="center"/>
            <w:hideMark/>
          </w:tcPr>
          <w:p w14:paraId="3E378DD2" w14:textId="77777777" w:rsidR="00BC02DF" w:rsidRPr="00C20B08" w:rsidRDefault="00BC02DF" w:rsidP="00DF6746">
            <w:pPr>
              <w:spacing w:after="0" w:line="240" w:lineRule="auto"/>
              <w:jc w:val="center"/>
              <w:rPr>
                <w:rFonts w:ascii="Garamond" w:eastAsia="Times New Roman" w:hAnsi="Garamond" w:cs="Times New Roman"/>
                <w:lang w:eastAsia="fr-FR"/>
              </w:rPr>
            </w:pPr>
            <w:r w:rsidRPr="00C20B08">
              <w:rPr>
                <w:rFonts w:ascii="Garamond" w:eastAsia="Times New Roman" w:hAnsi="Garamond" w:cs="Times New Roman"/>
                <w:lang w:eastAsia="fr-FR"/>
              </w:rPr>
              <w:t>Actions et titres non cotés</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74488222" w14:textId="77777777" w:rsidR="00BC02DF" w:rsidRPr="00C20B08" w:rsidRDefault="00BC02DF" w:rsidP="001A63D9">
            <w:pPr>
              <w:spacing w:after="0" w:line="240" w:lineRule="auto"/>
              <w:jc w:val="center"/>
              <w:rPr>
                <w:rFonts w:ascii="Garamond" w:eastAsia="Times New Roman" w:hAnsi="Garamond" w:cs="Times New Roman"/>
                <w:lang w:eastAsia="fr-FR"/>
              </w:rPr>
            </w:pPr>
            <w:r w:rsidRPr="00C20B08">
              <w:rPr>
                <w:rFonts w:ascii="Garamond" w:eastAsia="Times New Roman" w:hAnsi="Garamond" w:cs="Times New Roman"/>
                <w:lang w:eastAsia="fr-FR"/>
              </w:rPr>
              <w:t>R0050</w:t>
            </w:r>
          </w:p>
        </w:tc>
        <w:tc>
          <w:tcPr>
            <w:tcW w:w="5528" w:type="dxa"/>
            <w:tcBorders>
              <w:top w:val="nil"/>
              <w:left w:val="single" w:sz="4" w:space="0" w:color="auto"/>
              <w:bottom w:val="single" w:sz="4" w:space="0" w:color="auto"/>
              <w:right w:val="single" w:sz="4" w:space="0" w:color="auto"/>
            </w:tcBorders>
          </w:tcPr>
          <w:p w14:paraId="1CB5522F" w14:textId="6D568225" w:rsidR="00BC02DF" w:rsidRPr="00C20B08" w:rsidRDefault="00BC02DF" w:rsidP="001A63D9">
            <w:pPr>
              <w:rPr>
                <w:rFonts w:ascii="Garamond" w:hAnsi="Garamond"/>
              </w:rPr>
            </w:pPr>
            <w:r w:rsidRPr="00C20B08">
              <w:rPr>
                <w:rFonts w:ascii="Garamond" w:hAnsi="Garamond"/>
              </w:rPr>
              <w:t>Actions représentant le capital d’une société, sa propriété par exemple, non négociées sur un marché réglementé ou un système multilatéral de négociation au sens de la directive 2004/39/CE</w:t>
            </w:r>
            <w:r w:rsidR="000C623D">
              <w:rPr>
                <w:rFonts w:ascii="Garamond" w:hAnsi="Garamond"/>
              </w:rPr>
              <w:t xml:space="preserve"> (</w:t>
            </w:r>
            <w:r w:rsidR="000C623D" w:rsidRPr="000C623D">
              <w:rPr>
                <w:rFonts w:ascii="Garamond" w:hAnsi="Garamond"/>
              </w:rPr>
              <w:t>classification AF.51</w:t>
            </w:r>
            <w:r w:rsidR="000C623D">
              <w:rPr>
                <w:rFonts w:ascii="Garamond" w:hAnsi="Garamond"/>
              </w:rPr>
              <w:t>2 et AF.519</w:t>
            </w:r>
            <w:r w:rsidR="000C623D" w:rsidRPr="000C623D">
              <w:rPr>
                <w:rFonts w:ascii="Garamond" w:hAnsi="Garamond"/>
              </w:rPr>
              <w:t xml:space="preserve"> de l’annexe 7.1 du SEC2010)</w:t>
            </w:r>
            <w:r w:rsidR="000C623D" w:rsidRPr="00C20B08">
              <w:rPr>
                <w:rFonts w:ascii="Garamond" w:hAnsi="Garamond"/>
              </w:rPr>
              <w:t>.</w:t>
            </w:r>
          </w:p>
          <w:p w14:paraId="2248AB41" w14:textId="3538F0A3" w:rsidR="000C623D" w:rsidRPr="0042097E" w:rsidRDefault="000C623D" w:rsidP="000C623D">
            <w:pPr>
              <w:rPr>
                <w:rFonts w:ascii="Garamond" w:hAnsi="Garamond"/>
              </w:rPr>
            </w:pPr>
            <w:r>
              <w:rPr>
                <w:rFonts w:ascii="Garamond" w:hAnsi="Garamond"/>
              </w:rPr>
              <w:t>C</w:t>
            </w:r>
            <w:r w:rsidRPr="00C20B08">
              <w:rPr>
                <w:rFonts w:ascii="Garamond" w:hAnsi="Garamond"/>
              </w:rPr>
              <w:t xml:space="preserve">ode 48 </w:t>
            </w:r>
            <w:r>
              <w:rPr>
                <w:rFonts w:ascii="Garamond" w:hAnsi="Garamond"/>
              </w:rPr>
              <w:t>13 3 et 48 13 4 dans l’annexe 1 du règlement</w:t>
            </w:r>
            <w:r w:rsidRPr="0042097E">
              <w:rPr>
                <w:rFonts w:ascii="Garamond" w:hAnsi="Garamond"/>
              </w:rPr>
              <w:t xml:space="preserve"> </w:t>
            </w:r>
            <w:hyperlink r:id="rId12" w:history="1">
              <w:r>
                <w:rPr>
                  <w:rStyle w:val="Lienhypertexte"/>
                  <w:rFonts w:ascii="Garamond" w:hAnsi="Garamond"/>
                </w:rPr>
                <w:t>N°</w:t>
              </w:r>
              <w:r w:rsidRPr="0042097E">
                <w:rPr>
                  <w:rStyle w:val="Lienhypertexte"/>
                  <w:rFonts w:ascii="Garamond" w:hAnsi="Garamond"/>
                </w:rPr>
                <w:t xml:space="preserve"> 250/2009</w:t>
              </w:r>
            </w:hyperlink>
            <w:r>
              <w:rPr>
                <w:rFonts w:ascii="Garamond" w:hAnsi="Garamond"/>
              </w:rPr>
              <w:t xml:space="preserve"> de la commission</w:t>
            </w:r>
            <w:r w:rsidRPr="0042097E">
              <w:rPr>
                <w:rFonts w:ascii="Garamond" w:hAnsi="Garamond"/>
              </w:rPr>
              <w:t>, extrait</w:t>
            </w:r>
            <w:r>
              <w:rPr>
                <w:rFonts w:ascii="Garamond" w:hAnsi="Garamond"/>
              </w:rPr>
              <w:t xml:space="preserve"> </w:t>
            </w:r>
            <w:r w:rsidRPr="0042097E">
              <w:rPr>
                <w:rFonts w:ascii="Garamond" w:hAnsi="Garamond"/>
              </w:rPr>
              <w:t>:</w:t>
            </w:r>
          </w:p>
          <w:p w14:paraId="74BCE2A7" w14:textId="4736FB26" w:rsidR="000C623D" w:rsidRPr="00C20B08" w:rsidRDefault="000C623D" w:rsidP="009B0702">
            <w:pPr>
              <w:rPr>
                <w:rFonts w:ascii="Garamond" w:hAnsi="Garamond"/>
              </w:rPr>
            </w:pPr>
            <w:r>
              <w:rPr>
                <w:rFonts w:ascii="Garamond" w:hAnsi="Garamond"/>
              </w:rPr>
              <w:t>« </w:t>
            </w:r>
            <w:r w:rsidR="0042097E" w:rsidRPr="0042097E">
              <w:rPr>
                <w:rFonts w:ascii="Garamond" w:hAnsi="Garamond"/>
              </w:rPr>
              <w:t>Cette variable comprend toutes les actions non cotées en bourse.</w:t>
            </w:r>
            <w:r>
              <w:rPr>
                <w:rFonts w:ascii="Garamond" w:hAnsi="Garamond"/>
              </w:rPr>
              <w:t> » et « </w:t>
            </w:r>
            <w:r w:rsidRPr="000C623D">
              <w:rPr>
                <w:rFonts w:ascii="Garamond" w:hAnsi="Garamond"/>
              </w:rPr>
              <w:t>Cette variable couvre tous les autres titres à revenu variable non recensés sous d'autres rubriques</w:t>
            </w:r>
            <w:r>
              <w:rPr>
                <w:rFonts w:ascii="Garamond" w:hAnsi="Garamond"/>
              </w:rPr>
              <w:t>. »</w:t>
            </w:r>
          </w:p>
        </w:tc>
      </w:tr>
      <w:tr w:rsidR="00BC02DF" w:rsidRPr="0098602C" w14:paraId="59341E02" w14:textId="77777777" w:rsidTr="00A05A3A">
        <w:trPr>
          <w:trHeight w:val="300"/>
        </w:trPr>
        <w:tc>
          <w:tcPr>
            <w:tcW w:w="2709" w:type="dxa"/>
            <w:tcBorders>
              <w:top w:val="nil"/>
              <w:left w:val="single" w:sz="4" w:space="0" w:color="auto"/>
              <w:bottom w:val="single" w:sz="4" w:space="0" w:color="auto"/>
              <w:right w:val="single" w:sz="4" w:space="0" w:color="auto"/>
            </w:tcBorders>
            <w:shd w:val="clear" w:color="auto" w:fill="auto"/>
            <w:vAlign w:val="center"/>
            <w:hideMark/>
          </w:tcPr>
          <w:p w14:paraId="52CE0201" w14:textId="77777777" w:rsidR="00BC02DF" w:rsidRPr="00C20B08" w:rsidRDefault="00BC02DF" w:rsidP="00DF6746">
            <w:pPr>
              <w:spacing w:after="0" w:line="240" w:lineRule="auto"/>
              <w:jc w:val="center"/>
              <w:rPr>
                <w:rFonts w:ascii="Garamond" w:eastAsia="Times New Roman" w:hAnsi="Garamond" w:cs="Times New Roman"/>
                <w:lang w:eastAsia="fr-FR"/>
              </w:rPr>
            </w:pPr>
            <w:r w:rsidRPr="00C20B08">
              <w:rPr>
                <w:rFonts w:ascii="Garamond" w:eastAsia="Times New Roman" w:hAnsi="Garamond" w:cs="Times New Roman"/>
                <w:lang w:eastAsia="fr-FR"/>
              </w:rPr>
              <w:t>Obligations, titres de créance négociables et titres à revenu fixe</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442FBE53" w14:textId="77777777" w:rsidR="00BC02DF" w:rsidRPr="00C20B08" w:rsidRDefault="00BC02DF" w:rsidP="001A63D9">
            <w:pPr>
              <w:spacing w:after="0" w:line="240" w:lineRule="auto"/>
              <w:jc w:val="center"/>
              <w:rPr>
                <w:rFonts w:ascii="Garamond" w:eastAsia="Times New Roman" w:hAnsi="Garamond" w:cs="Times New Roman"/>
                <w:lang w:eastAsia="fr-FR"/>
              </w:rPr>
            </w:pPr>
            <w:r w:rsidRPr="00C20B08">
              <w:rPr>
                <w:rFonts w:ascii="Garamond" w:eastAsia="Times New Roman" w:hAnsi="Garamond" w:cs="Times New Roman"/>
                <w:lang w:eastAsia="fr-FR"/>
              </w:rPr>
              <w:t>R0060</w:t>
            </w:r>
          </w:p>
        </w:tc>
        <w:tc>
          <w:tcPr>
            <w:tcW w:w="5528" w:type="dxa"/>
            <w:tcBorders>
              <w:top w:val="nil"/>
              <w:left w:val="single" w:sz="4" w:space="0" w:color="auto"/>
              <w:bottom w:val="single" w:sz="4" w:space="0" w:color="auto"/>
              <w:right w:val="single" w:sz="4" w:space="0" w:color="auto"/>
            </w:tcBorders>
          </w:tcPr>
          <w:p w14:paraId="76A54772" w14:textId="04A2ACE3" w:rsidR="00BC02DF" w:rsidRPr="00C20B08" w:rsidRDefault="00BC02DF" w:rsidP="001A63D9">
            <w:pPr>
              <w:spacing w:after="0" w:line="240" w:lineRule="auto"/>
              <w:rPr>
                <w:rFonts w:ascii="Garamond" w:eastAsia="Times New Roman" w:hAnsi="Garamond" w:cs="Times New Roman"/>
                <w:lang w:eastAsia="fr-FR"/>
              </w:rPr>
            </w:pPr>
            <w:r w:rsidRPr="00C20B08">
              <w:rPr>
                <w:rFonts w:ascii="Garamond" w:eastAsia="Times New Roman" w:hAnsi="Garamond" w:cs="Times New Roman"/>
                <w:lang w:eastAsia="fr-FR"/>
              </w:rPr>
              <w:t>Montant total des obligations d’État, des obligations</w:t>
            </w:r>
            <w:r w:rsidR="00F13B2B">
              <w:rPr>
                <w:rFonts w:ascii="Garamond" w:eastAsia="Times New Roman" w:hAnsi="Garamond" w:cs="Times New Roman"/>
                <w:lang w:eastAsia="fr-FR"/>
              </w:rPr>
              <w:t xml:space="preserve"> </w:t>
            </w:r>
            <w:r w:rsidRPr="00C20B08">
              <w:rPr>
                <w:rFonts w:ascii="Garamond" w:eastAsia="Times New Roman" w:hAnsi="Garamond" w:cs="Times New Roman"/>
                <w:lang w:eastAsia="fr-FR"/>
              </w:rPr>
              <w:t>d’entreprise, des titres structurés et des titres garantis</w:t>
            </w:r>
            <w:r w:rsidR="00F13B2B">
              <w:rPr>
                <w:rFonts w:ascii="Garamond" w:eastAsia="Times New Roman" w:hAnsi="Garamond" w:cs="Times New Roman"/>
                <w:lang w:eastAsia="fr-FR"/>
              </w:rPr>
              <w:t xml:space="preserve"> (classification AF.3</w:t>
            </w:r>
            <w:r w:rsidR="00F13B2B" w:rsidRPr="00F13B2B">
              <w:rPr>
                <w:rFonts w:ascii="Garamond" w:eastAsia="Times New Roman" w:hAnsi="Garamond" w:cs="Times New Roman"/>
                <w:lang w:eastAsia="fr-FR"/>
              </w:rPr>
              <w:t xml:space="preserve"> de l’annexe 7.1 du SEC2010).</w:t>
            </w:r>
          </w:p>
          <w:p w14:paraId="2C448472" w14:textId="77777777" w:rsidR="00BC02DF" w:rsidRPr="00C20B08" w:rsidRDefault="00BC02DF" w:rsidP="001A63D9">
            <w:pPr>
              <w:spacing w:after="0" w:line="240" w:lineRule="auto"/>
              <w:rPr>
                <w:rFonts w:ascii="Garamond" w:eastAsia="Times New Roman" w:hAnsi="Garamond" w:cs="Times New Roman"/>
                <w:lang w:eastAsia="fr-FR"/>
              </w:rPr>
            </w:pPr>
          </w:p>
          <w:p w14:paraId="1E06788D" w14:textId="6CB3986C" w:rsidR="00F13B2B" w:rsidRPr="0042097E" w:rsidRDefault="00F13B2B" w:rsidP="00F13B2B">
            <w:pPr>
              <w:rPr>
                <w:rFonts w:ascii="Garamond" w:hAnsi="Garamond"/>
              </w:rPr>
            </w:pPr>
            <w:r>
              <w:rPr>
                <w:rFonts w:ascii="Garamond" w:hAnsi="Garamond"/>
              </w:rPr>
              <w:t>C</w:t>
            </w:r>
            <w:r w:rsidRPr="00C20B08">
              <w:rPr>
                <w:rFonts w:ascii="Garamond" w:hAnsi="Garamond"/>
              </w:rPr>
              <w:t xml:space="preserve">ode 48 </w:t>
            </w:r>
            <w:r>
              <w:rPr>
                <w:rFonts w:ascii="Garamond" w:hAnsi="Garamond"/>
              </w:rPr>
              <w:t>15 0 dans l’annexe 1 du règlement</w:t>
            </w:r>
            <w:r w:rsidRPr="0042097E">
              <w:rPr>
                <w:rFonts w:ascii="Garamond" w:hAnsi="Garamond"/>
              </w:rPr>
              <w:t xml:space="preserve"> </w:t>
            </w:r>
            <w:hyperlink r:id="rId13" w:history="1">
              <w:r>
                <w:rPr>
                  <w:rStyle w:val="Lienhypertexte"/>
                  <w:rFonts w:ascii="Garamond" w:hAnsi="Garamond"/>
                </w:rPr>
                <w:t>N°</w:t>
              </w:r>
              <w:r w:rsidRPr="0042097E">
                <w:rPr>
                  <w:rStyle w:val="Lienhypertexte"/>
                  <w:rFonts w:ascii="Garamond" w:hAnsi="Garamond"/>
                </w:rPr>
                <w:t xml:space="preserve"> 250/2009</w:t>
              </w:r>
            </w:hyperlink>
            <w:r>
              <w:rPr>
                <w:rFonts w:ascii="Garamond" w:hAnsi="Garamond"/>
              </w:rPr>
              <w:t xml:space="preserve"> de la commission</w:t>
            </w:r>
            <w:r w:rsidRPr="0042097E">
              <w:rPr>
                <w:rFonts w:ascii="Garamond" w:hAnsi="Garamond"/>
              </w:rPr>
              <w:t>, extrait</w:t>
            </w:r>
            <w:r>
              <w:rPr>
                <w:rFonts w:ascii="Garamond" w:hAnsi="Garamond"/>
              </w:rPr>
              <w:t xml:space="preserve"> </w:t>
            </w:r>
            <w:r w:rsidRPr="0042097E">
              <w:rPr>
                <w:rFonts w:ascii="Garamond" w:hAnsi="Garamond"/>
              </w:rPr>
              <w:t>:</w:t>
            </w:r>
          </w:p>
          <w:p w14:paraId="3AAEA671" w14:textId="47D69BD2" w:rsidR="00BC02DF" w:rsidRPr="0098602C" w:rsidRDefault="00F13B2B" w:rsidP="001A63D9">
            <w:pPr>
              <w:rPr>
                <w:rFonts w:ascii="Garamond" w:hAnsi="Garamond"/>
              </w:rPr>
            </w:pPr>
            <w:r>
              <w:rPr>
                <w:rFonts w:ascii="Garamond" w:hAnsi="Garamond"/>
              </w:rPr>
              <w:t>« </w:t>
            </w:r>
            <w:r w:rsidR="00AD7D32" w:rsidRPr="00AD7D32">
              <w:rPr>
                <w:rFonts w:ascii="Garamond" w:hAnsi="Garamond"/>
              </w:rPr>
              <w:t xml:space="preserve">Cette variable couvre les obligations négociables et les autres titres à revenu fixe émis par les établissements de crédit, par d'autres entreprises ou par des organismes publics, à l'exclusion de ceux relevant de la variable 48 12 0. Les titres dont le taux d'intérêt varie en fonction de facteurs spécifiques, tels que le taux en vigueur sur le marché interbancaire ou sur </w:t>
            </w:r>
            <w:r w:rsidR="00AD7D32" w:rsidRPr="00AD7D32">
              <w:rPr>
                <w:rFonts w:ascii="Garamond" w:hAnsi="Garamond"/>
              </w:rPr>
              <w:lastRenderedPageBreak/>
              <w:t>l'euromarché, sont également considérés comme faisant partie des obligations et autres titres à revenu fixe.</w:t>
            </w:r>
            <w:r>
              <w:rPr>
                <w:rFonts w:ascii="Garamond" w:hAnsi="Garamond"/>
              </w:rPr>
              <w:t> »</w:t>
            </w:r>
          </w:p>
        </w:tc>
      </w:tr>
      <w:tr w:rsidR="00A05A3A" w:rsidRPr="00E538FD" w14:paraId="6C7A9393" w14:textId="77777777" w:rsidTr="00A05A3A">
        <w:trPr>
          <w:trHeight w:val="300"/>
        </w:trPr>
        <w:tc>
          <w:tcPr>
            <w:tcW w:w="2709" w:type="dxa"/>
            <w:tcBorders>
              <w:top w:val="nil"/>
              <w:left w:val="single" w:sz="4" w:space="0" w:color="auto"/>
              <w:bottom w:val="single" w:sz="4" w:space="0" w:color="auto"/>
              <w:right w:val="single" w:sz="4" w:space="0" w:color="auto"/>
            </w:tcBorders>
            <w:shd w:val="clear" w:color="auto" w:fill="auto"/>
            <w:vAlign w:val="center"/>
          </w:tcPr>
          <w:p w14:paraId="3F700E37" w14:textId="77777777" w:rsidR="0098602C" w:rsidRDefault="0098602C" w:rsidP="001A63D9">
            <w:pPr>
              <w:spacing w:after="0" w:line="240" w:lineRule="auto"/>
              <w:ind w:firstLineChars="300" w:firstLine="660"/>
              <w:rPr>
                <w:rFonts w:ascii="Garamond" w:eastAsia="Times New Roman" w:hAnsi="Garamond" w:cs="Times New Roman"/>
                <w:lang w:eastAsia="fr-FR"/>
              </w:rPr>
            </w:pPr>
          </w:p>
          <w:p w14:paraId="48DE2581" w14:textId="77777777" w:rsidR="0098602C" w:rsidRDefault="0098602C" w:rsidP="001A63D9">
            <w:pPr>
              <w:spacing w:after="0" w:line="240" w:lineRule="auto"/>
              <w:ind w:firstLineChars="300" w:firstLine="660"/>
              <w:rPr>
                <w:rFonts w:ascii="Garamond" w:eastAsia="Times New Roman" w:hAnsi="Garamond" w:cs="Times New Roman"/>
                <w:lang w:eastAsia="fr-FR"/>
              </w:rPr>
            </w:pPr>
          </w:p>
          <w:p w14:paraId="0D519152" w14:textId="77777777" w:rsidR="0098602C" w:rsidRDefault="0098602C" w:rsidP="001A63D9">
            <w:pPr>
              <w:spacing w:after="0" w:line="240" w:lineRule="auto"/>
              <w:ind w:firstLineChars="300" w:firstLine="660"/>
              <w:rPr>
                <w:rFonts w:ascii="Garamond" w:eastAsia="Times New Roman" w:hAnsi="Garamond" w:cs="Times New Roman"/>
                <w:lang w:eastAsia="fr-FR"/>
              </w:rPr>
            </w:pPr>
          </w:p>
          <w:p w14:paraId="0D40A6E5" w14:textId="77777777" w:rsidR="00A05A3A" w:rsidRPr="00C20B08" w:rsidRDefault="00EF4367" w:rsidP="00DF6746">
            <w:pPr>
              <w:spacing w:after="0" w:line="240" w:lineRule="auto"/>
              <w:jc w:val="center"/>
              <w:rPr>
                <w:rFonts w:ascii="Garamond" w:eastAsia="Times New Roman" w:hAnsi="Garamond" w:cs="Times New Roman"/>
                <w:lang w:eastAsia="fr-FR"/>
              </w:rPr>
            </w:pPr>
            <w:r w:rsidRPr="00DE7F8E">
              <w:rPr>
                <w:rFonts w:ascii="Garamond" w:eastAsia="Times New Roman" w:hAnsi="Garamond" w:cs="Times New Roman"/>
                <w:lang w:eastAsia="fr-FR"/>
              </w:rPr>
              <w:t>Dont prêts, titres de créance non négociables, titres de trésorerie et obligations nominatives émis par des IFM</w:t>
            </w:r>
          </w:p>
        </w:tc>
        <w:tc>
          <w:tcPr>
            <w:tcW w:w="850" w:type="dxa"/>
            <w:tcBorders>
              <w:top w:val="nil"/>
              <w:left w:val="single" w:sz="4" w:space="0" w:color="auto"/>
              <w:bottom w:val="single" w:sz="4" w:space="0" w:color="auto"/>
              <w:right w:val="single" w:sz="4" w:space="0" w:color="auto"/>
            </w:tcBorders>
            <w:shd w:val="clear" w:color="auto" w:fill="auto"/>
            <w:vAlign w:val="center"/>
          </w:tcPr>
          <w:p w14:paraId="044F6A33" w14:textId="77777777" w:rsidR="0098602C" w:rsidRDefault="0098602C" w:rsidP="001A63D9">
            <w:pPr>
              <w:spacing w:after="0" w:line="240" w:lineRule="auto"/>
              <w:jc w:val="center"/>
              <w:rPr>
                <w:rFonts w:ascii="Garamond" w:eastAsia="Times New Roman" w:hAnsi="Garamond" w:cs="Times New Roman"/>
                <w:lang w:eastAsia="fr-FR"/>
              </w:rPr>
            </w:pPr>
          </w:p>
          <w:p w14:paraId="75A9D32F" w14:textId="77777777" w:rsidR="0098602C" w:rsidRDefault="0098602C" w:rsidP="001A63D9">
            <w:pPr>
              <w:spacing w:after="0" w:line="240" w:lineRule="auto"/>
              <w:jc w:val="center"/>
              <w:rPr>
                <w:rFonts w:ascii="Garamond" w:eastAsia="Times New Roman" w:hAnsi="Garamond" w:cs="Times New Roman"/>
                <w:lang w:eastAsia="fr-FR"/>
              </w:rPr>
            </w:pPr>
          </w:p>
          <w:p w14:paraId="0F1795CF" w14:textId="77777777" w:rsidR="0098602C" w:rsidRDefault="0098602C" w:rsidP="001A63D9">
            <w:pPr>
              <w:spacing w:after="0" w:line="240" w:lineRule="auto"/>
              <w:jc w:val="center"/>
              <w:rPr>
                <w:rFonts w:ascii="Garamond" w:eastAsia="Times New Roman" w:hAnsi="Garamond" w:cs="Times New Roman"/>
                <w:lang w:eastAsia="fr-FR"/>
              </w:rPr>
            </w:pPr>
          </w:p>
          <w:p w14:paraId="16DAD0B0" w14:textId="77777777" w:rsidR="00A05A3A" w:rsidRPr="00C20B08" w:rsidRDefault="00A05A3A" w:rsidP="001A63D9">
            <w:pPr>
              <w:spacing w:after="0" w:line="240" w:lineRule="auto"/>
              <w:jc w:val="center"/>
              <w:rPr>
                <w:rFonts w:ascii="Garamond" w:eastAsia="Times New Roman" w:hAnsi="Garamond" w:cs="Times New Roman"/>
                <w:lang w:eastAsia="fr-FR"/>
              </w:rPr>
            </w:pPr>
            <w:r>
              <w:rPr>
                <w:rFonts w:ascii="Garamond" w:eastAsia="Times New Roman" w:hAnsi="Garamond" w:cs="Times New Roman"/>
                <w:lang w:eastAsia="fr-FR"/>
              </w:rPr>
              <w:t>ER0061</w:t>
            </w:r>
          </w:p>
        </w:tc>
        <w:tc>
          <w:tcPr>
            <w:tcW w:w="5528" w:type="dxa"/>
            <w:tcBorders>
              <w:top w:val="nil"/>
              <w:left w:val="single" w:sz="4" w:space="0" w:color="auto"/>
              <w:bottom w:val="single" w:sz="4" w:space="0" w:color="auto"/>
              <w:right w:val="single" w:sz="4" w:space="0" w:color="auto"/>
            </w:tcBorders>
          </w:tcPr>
          <w:p w14:paraId="6384A309" w14:textId="77777777" w:rsidR="0098602C" w:rsidRDefault="0098602C" w:rsidP="00E87591">
            <w:pPr>
              <w:spacing w:after="0" w:line="240" w:lineRule="auto"/>
              <w:rPr>
                <w:rFonts w:ascii="Garamond" w:eastAsia="Times New Roman" w:hAnsi="Garamond" w:cs="Times New Roman"/>
                <w:lang w:val="en-US" w:eastAsia="fr-FR"/>
              </w:rPr>
            </w:pPr>
          </w:p>
          <w:p w14:paraId="726F8BD3" w14:textId="77777777" w:rsidR="00C707CC" w:rsidRDefault="00E538FD" w:rsidP="00E87591">
            <w:pPr>
              <w:spacing w:after="0" w:line="240" w:lineRule="auto"/>
              <w:rPr>
                <w:rFonts w:ascii="Garamond" w:eastAsia="Times New Roman" w:hAnsi="Garamond" w:cs="Times New Roman"/>
                <w:lang w:val="en-US" w:eastAsia="fr-FR"/>
              </w:rPr>
            </w:pPr>
            <w:proofErr w:type="spellStart"/>
            <w:r>
              <w:rPr>
                <w:rFonts w:ascii="Garamond" w:eastAsia="Times New Roman" w:hAnsi="Garamond" w:cs="Times New Roman"/>
                <w:lang w:val="en-US" w:eastAsia="fr-FR"/>
              </w:rPr>
              <w:t>Catégorie</w:t>
            </w:r>
            <w:proofErr w:type="spellEnd"/>
            <w:r>
              <w:rPr>
                <w:rFonts w:ascii="Garamond" w:eastAsia="Times New Roman" w:hAnsi="Garamond" w:cs="Times New Roman"/>
                <w:lang w:val="en-US" w:eastAsia="fr-FR"/>
              </w:rPr>
              <w:t xml:space="preserve"> </w:t>
            </w:r>
            <w:proofErr w:type="spellStart"/>
            <w:r>
              <w:rPr>
                <w:rFonts w:ascii="Garamond" w:eastAsia="Times New Roman" w:hAnsi="Garamond" w:cs="Times New Roman"/>
                <w:lang w:val="en-US" w:eastAsia="fr-FR"/>
              </w:rPr>
              <w:t>comprenant</w:t>
            </w:r>
            <w:proofErr w:type="spellEnd"/>
            <w:r>
              <w:rPr>
                <w:rFonts w:ascii="Garamond" w:eastAsia="Times New Roman" w:hAnsi="Garamond" w:cs="Times New Roman"/>
                <w:lang w:val="en-US" w:eastAsia="fr-FR"/>
              </w:rPr>
              <w:t xml:space="preserve"> </w:t>
            </w:r>
          </w:p>
          <w:p w14:paraId="3C540BA6" w14:textId="7EF82062" w:rsidR="00955B4B" w:rsidRDefault="002E77CD" w:rsidP="00955B4B">
            <w:pPr>
              <w:pStyle w:val="Paragraphedeliste"/>
              <w:numPr>
                <w:ilvl w:val="0"/>
                <w:numId w:val="9"/>
              </w:numPr>
              <w:spacing w:after="0" w:line="240" w:lineRule="auto"/>
              <w:rPr>
                <w:rFonts w:ascii="Garamond" w:eastAsia="Times New Roman" w:hAnsi="Garamond" w:cs="Times New Roman"/>
                <w:lang w:eastAsia="fr-FR"/>
              </w:rPr>
            </w:pPr>
            <w:proofErr w:type="gramStart"/>
            <w:r>
              <w:rPr>
                <w:rFonts w:ascii="Garamond" w:eastAsia="Times New Roman" w:hAnsi="Garamond" w:cs="Times New Roman"/>
                <w:lang w:eastAsia="fr-FR"/>
              </w:rPr>
              <w:t>prêt</w:t>
            </w:r>
            <w:proofErr w:type="gramEnd"/>
            <w:r>
              <w:rPr>
                <w:rFonts w:ascii="Garamond" w:eastAsia="Times New Roman" w:hAnsi="Garamond" w:cs="Times New Roman"/>
                <w:lang w:eastAsia="fr-FR"/>
              </w:rPr>
              <w:t xml:space="preserve"> (</w:t>
            </w:r>
            <w:proofErr w:type="spellStart"/>
            <w:r w:rsidRPr="00777366">
              <w:rPr>
                <w:rFonts w:ascii="Garamond" w:eastAsia="Times New Roman" w:hAnsi="Garamond" w:cs="Times New Roman"/>
                <w:lang w:eastAsia="fr-FR"/>
              </w:rPr>
              <w:t>Schuldscheindarlehen</w:t>
            </w:r>
            <w:proofErr w:type="spellEnd"/>
            <w:r>
              <w:rPr>
                <w:rFonts w:ascii="Garamond" w:eastAsia="Times New Roman" w:hAnsi="Garamond" w:cs="Times New Roman"/>
                <w:lang w:eastAsia="fr-FR"/>
              </w:rPr>
              <w:t>)</w:t>
            </w:r>
            <w:r w:rsidRPr="00955B4B">
              <w:rPr>
                <w:rFonts w:ascii="Garamond" w:eastAsia="Times New Roman" w:hAnsi="Garamond" w:cs="Times New Roman"/>
                <w:lang w:eastAsia="fr-FR"/>
              </w:rPr>
              <w:t>,</w:t>
            </w:r>
          </w:p>
          <w:p w14:paraId="7F4FABA7" w14:textId="77777777" w:rsidR="00955B4B" w:rsidRPr="002E77CD" w:rsidRDefault="00955B4B" w:rsidP="002E77CD">
            <w:pPr>
              <w:pStyle w:val="Paragraphedeliste"/>
              <w:numPr>
                <w:ilvl w:val="0"/>
                <w:numId w:val="9"/>
              </w:numPr>
              <w:spacing w:after="0" w:line="240" w:lineRule="auto"/>
              <w:rPr>
                <w:rFonts w:ascii="Garamond" w:eastAsia="Times New Roman" w:hAnsi="Garamond" w:cs="Times New Roman"/>
                <w:lang w:eastAsia="fr-FR"/>
              </w:rPr>
            </w:pPr>
            <w:r w:rsidRPr="00955B4B">
              <w:rPr>
                <w:rFonts w:ascii="Garamond" w:eastAsia="Times New Roman" w:hAnsi="Garamond" w:cs="Times New Roman"/>
                <w:lang w:eastAsia="fr-FR"/>
              </w:rPr>
              <w:t>Tit</w:t>
            </w:r>
            <w:r w:rsidR="002E77CD">
              <w:rPr>
                <w:rFonts w:ascii="Garamond" w:eastAsia="Times New Roman" w:hAnsi="Garamond" w:cs="Times New Roman"/>
                <w:lang w:eastAsia="fr-FR"/>
              </w:rPr>
              <w:t>res de créance non négociables (</w:t>
            </w:r>
            <w:proofErr w:type="spellStart"/>
            <w:r w:rsidR="002E77CD" w:rsidRPr="00777366">
              <w:rPr>
                <w:rFonts w:ascii="Garamond" w:eastAsia="Times New Roman" w:hAnsi="Garamond" w:cs="Times New Roman"/>
                <w:lang w:eastAsia="fr-FR"/>
              </w:rPr>
              <w:t>nicht</w:t>
            </w:r>
            <w:proofErr w:type="spellEnd"/>
            <w:r w:rsidR="002E77CD" w:rsidRPr="00777366">
              <w:rPr>
                <w:rFonts w:ascii="Garamond" w:eastAsia="Times New Roman" w:hAnsi="Garamond" w:cs="Times New Roman"/>
                <w:lang w:eastAsia="fr-FR"/>
              </w:rPr>
              <w:t xml:space="preserve"> </w:t>
            </w:r>
            <w:proofErr w:type="spellStart"/>
            <w:r w:rsidR="002E77CD" w:rsidRPr="00777366">
              <w:rPr>
                <w:rFonts w:ascii="Garamond" w:eastAsia="Times New Roman" w:hAnsi="Garamond" w:cs="Times New Roman"/>
                <w:lang w:eastAsia="fr-FR"/>
              </w:rPr>
              <w:t>handelbare</w:t>
            </w:r>
            <w:proofErr w:type="spellEnd"/>
            <w:r w:rsidR="002E77CD" w:rsidRPr="00777366">
              <w:rPr>
                <w:rFonts w:ascii="Garamond" w:eastAsia="Times New Roman" w:hAnsi="Garamond" w:cs="Times New Roman"/>
                <w:lang w:eastAsia="fr-FR"/>
              </w:rPr>
              <w:t xml:space="preserve"> </w:t>
            </w:r>
            <w:proofErr w:type="spellStart"/>
            <w:r w:rsidR="002E77CD" w:rsidRPr="00777366">
              <w:rPr>
                <w:rFonts w:ascii="Garamond" w:eastAsia="Times New Roman" w:hAnsi="Garamond" w:cs="Times New Roman"/>
                <w:lang w:eastAsia="fr-FR"/>
              </w:rPr>
              <w:t>Schuldverschreibungen</w:t>
            </w:r>
            <w:proofErr w:type="spellEnd"/>
            <w:r w:rsidR="002E77CD">
              <w:rPr>
                <w:rFonts w:ascii="Garamond" w:eastAsia="Times New Roman" w:hAnsi="Garamond" w:cs="Times New Roman"/>
                <w:lang w:eastAsia="fr-FR"/>
              </w:rPr>
              <w:t>)</w:t>
            </w:r>
            <w:r w:rsidR="002E77CD" w:rsidRPr="00955B4B">
              <w:rPr>
                <w:rFonts w:ascii="Garamond" w:eastAsia="Times New Roman" w:hAnsi="Garamond" w:cs="Times New Roman"/>
                <w:lang w:eastAsia="fr-FR"/>
              </w:rPr>
              <w:t xml:space="preserve">, </w:t>
            </w:r>
          </w:p>
          <w:p w14:paraId="2E792965" w14:textId="77777777" w:rsidR="00955B4B" w:rsidRDefault="00955B4B" w:rsidP="00955B4B">
            <w:pPr>
              <w:pStyle w:val="Paragraphedeliste"/>
              <w:numPr>
                <w:ilvl w:val="0"/>
                <w:numId w:val="9"/>
              </w:numPr>
              <w:spacing w:after="0" w:line="240" w:lineRule="auto"/>
              <w:rPr>
                <w:rFonts w:ascii="Garamond" w:eastAsia="Times New Roman" w:hAnsi="Garamond" w:cs="Times New Roman"/>
                <w:lang w:eastAsia="fr-FR"/>
              </w:rPr>
            </w:pPr>
            <w:r>
              <w:rPr>
                <w:rFonts w:ascii="Garamond" w:eastAsia="Times New Roman" w:hAnsi="Garamond" w:cs="Times New Roman"/>
                <w:lang w:eastAsia="fr-FR"/>
              </w:rPr>
              <w:t>T</w:t>
            </w:r>
            <w:r w:rsidR="002E77CD">
              <w:rPr>
                <w:rFonts w:ascii="Garamond" w:eastAsia="Times New Roman" w:hAnsi="Garamond" w:cs="Times New Roman"/>
                <w:lang w:eastAsia="fr-FR"/>
              </w:rPr>
              <w:t>itres de trésorerie (</w:t>
            </w:r>
            <w:proofErr w:type="spellStart"/>
            <w:r w:rsidR="002E77CD" w:rsidRPr="00777366">
              <w:rPr>
                <w:rFonts w:ascii="Garamond" w:eastAsia="Times New Roman" w:hAnsi="Garamond" w:cs="Times New Roman"/>
                <w:lang w:eastAsia="fr-FR"/>
              </w:rPr>
              <w:t>Geldmarktpapiere</w:t>
            </w:r>
            <w:proofErr w:type="spellEnd"/>
            <w:r w:rsidR="002E77CD">
              <w:rPr>
                <w:rFonts w:ascii="Garamond" w:eastAsia="Times New Roman" w:hAnsi="Garamond" w:cs="Times New Roman"/>
                <w:lang w:eastAsia="fr-FR"/>
              </w:rPr>
              <w:t>)</w:t>
            </w:r>
            <w:r w:rsidR="002E77CD" w:rsidRPr="00955B4B">
              <w:rPr>
                <w:rFonts w:ascii="Garamond" w:eastAsia="Times New Roman" w:hAnsi="Garamond" w:cs="Times New Roman"/>
                <w:lang w:eastAsia="fr-FR"/>
              </w:rPr>
              <w:t>,</w:t>
            </w:r>
          </w:p>
          <w:p w14:paraId="7935C7C0" w14:textId="3EE60241" w:rsidR="00955B4B" w:rsidRDefault="00955B4B" w:rsidP="00955B4B">
            <w:pPr>
              <w:pStyle w:val="Paragraphedeliste"/>
              <w:numPr>
                <w:ilvl w:val="0"/>
                <w:numId w:val="9"/>
              </w:numPr>
              <w:spacing w:after="0" w:line="240" w:lineRule="auto"/>
              <w:rPr>
                <w:rFonts w:ascii="Garamond" w:eastAsia="Times New Roman" w:hAnsi="Garamond" w:cs="Times New Roman"/>
                <w:lang w:eastAsia="fr-FR"/>
              </w:rPr>
            </w:pPr>
            <w:r>
              <w:rPr>
                <w:rFonts w:ascii="Garamond" w:eastAsia="Times New Roman" w:hAnsi="Garamond" w:cs="Times New Roman"/>
                <w:lang w:eastAsia="fr-FR"/>
              </w:rPr>
              <w:t>O</w:t>
            </w:r>
            <w:r w:rsidRPr="00955B4B">
              <w:rPr>
                <w:rFonts w:ascii="Garamond" w:eastAsia="Times New Roman" w:hAnsi="Garamond" w:cs="Times New Roman"/>
                <w:lang w:eastAsia="fr-FR"/>
              </w:rPr>
              <w:t>bligations nominatives</w:t>
            </w:r>
            <w:r w:rsidR="002E77CD">
              <w:rPr>
                <w:rFonts w:ascii="Garamond" w:eastAsia="Times New Roman" w:hAnsi="Garamond" w:cs="Times New Roman"/>
                <w:lang w:eastAsia="fr-FR"/>
              </w:rPr>
              <w:t xml:space="preserve"> </w:t>
            </w:r>
            <w:r w:rsidR="002E77CD" w:rsidRPr="00777366">
              <w:rPr>
                <w:rFonts w:ascii="Garamond" w:eastAsia="Times New Roman" w:hAnsi="Garamond" w:cs="Times New Roman"/>
                <w:lang w:eastAsia="fr-FR"/>
              </w:rPr>
              <w:t>(</w:t>
            </w:r>
            <w:proofErr w:type="spellStart"/>
            <w:r w:rsidR="002E77CD" w:rsidRPr="00777366">
              <w:rPr>
                <w:rFonts w:ascii="Garamond" w:eastAsia="Times New Roman" w:hAnsi="Garamond" w:cs="Times New Roman"/>
                <w:lang w:eastAsia="fr-FR"/>
              </w:rPr>
              <w:t>Namensschuldverschreibungen</w:t>
            </w:r>
            <w:proofErr w:type="spellEnd"/>
            <w:r w:rsidR="002E77CD" w:rsidRPr="00777366">
              <w:rPr>
                <w:rFonts w:ascii="Garamond" w:eastAsia="Times New Roman" w:hAnsi="Garamond" w:cs="Times New Roman"/>
                <w:lang w:eastAsia="fr-FR"/>
              </w:rPr>
              <w:t>, “N-bonds”, ou instruments équivalents qui ne sont pas n</w:t>
            </w:r>
            <w:r w:rsidR="002E77CD">
              <w:rPr>
                <w:rFonts w:ascii="Garamond" w:eastAsia="Times New Roman" w:hAnsi="Garamond" w:cs="Times New Roman"/>
                <w:lang w:eastAsia="fr-FR"/>
              </w:rPr>
              <w:t>é</w:t>
            </w:r>
            <w:r w:rsidR="002E77CD" w:rsidRPr="00777366">
              <w:rPr>
                <w:rFonts w:ascii="Garamond" w:eastAsia="Times New Roman" w:hAnsi="Garamond" w:cs="Times New Roman"/>
                <w:lang w:eastAsia="fr-FR"/>
              </w:rPr>
              <w:t>go</w:t>
            </w:r>
            <w:r w:rsidR="002E77CD">
              <w:rPr>
                <w:rFonts w:ascii="Garamond" w:eastAsia="Times New Roman" w:hAnsi="Garamond" w:cs="Times New Roman"/>
                <w:lang w:eastAsia="fr-FR"/>
              </w:rPr>
              <w:t>c</w:t>
            </w:r>
            <w:r w:rsidR="002E77CD" w:rsidRPr="00777366">
              <w:rPr>
                <w:rFonts w:ascii="Garamond" w:eastAsia="Times New Roman" w:hAnsi="Garamond" w:cs="Times New Roman"/>
                <w:lang w:eastAsia="fr-FR"/>
              </w:rPr>
              <w:t>iable</w:t>
            </w:r>
            <w:r w:rsidR="002E77CD">
              <w:rPr>
                <w:rFonts w:ascii="Garamond" w:eastAsia="Times New Roman" w:hAnsi="Garamond" w:cs="Times New Roman"/>
                <w:lang w:eastAsia="fr-FR"/>
              </w:rPr>
              <w:t>s</w:t>
            </w:r>
            <w:r w:rsidR="002E77CD" w:rsidRPr="00777366">
              <w:rPr>
                <w:rFonts w:ascii="Garamond" w:eastAsia="Times New Roman" w:hAnsi="Garamond" w:cs="Times New Roman"/>
                <w:lang w:eastAsia="fr-FR"/>
              </w:rPr>
              <w:t>)</w:t>
            </w:r>
          </w:p>
          <w:p w14:paraId="1F3D1C92" w14:textId="77777777" w:rsidR="00955B4B" w:rsidRDefault="00955B4B" w:rsidP="00955B4B">
            <w:pPr>
              <w:spacing w:after="0" w:line="240" w:lineRule="auto"/>
              <w:rPr>
                <w:rFonts w:ascii="Garamond" w:eastAsia="Times New Roman" w:hAnsi="Garamond" w:cs="Times New Roman"/>
                <w:lang w:eastAsia="fr-FR"/>
              </w:rPr>
            </w:pPr>
          </w:p>
          <w:p w14:paraId="20FEDD40" w14:textId="6FCF38F5" w:rsidR="00E538FD" w:rsidRPr="00E538FD" w:rsidRDefault="00C707CC" w:rsidP="00E538FD">
            <w:pPr>
              <w:spacing w:after="0" w:line="240" w:lineRule="auto"/>
              <w:rPr>
                <w:rFonts w:ascii="Garamond" w:eastAsia="Times New Roman" w:hAnsi="Garamond" w:cs="Times New Roman"/>
                <w:lang w:eastAsia="fr-FR"/>
              </w:rPr>
            </w:pPr>
            <w:proofErr w:type="gramStart"/>
            <w:r w:rsidRPr="00955B4B">
              <w:rPr>
                <w:rFonts w:ascii="Garamond" w:eastAsia="Times New Roman" w:hAnsi="Garamond" w:cs="Times New Roman"/>
                <w:lang w:eastAsia="fr-FR"/>
              </w:rPr>
              <w:t>émis</w:t>
            </w:r>
            <w:proofErr w:type="gramEnd"/>
            <w:r w:rsidRPr="00955B4B">
              <w:rPr>
                <w:rFonts w:ascii="Garamond" w:eastAsia="Times New Roman" w:hAnsi="Garamond" w:cs="Times New Roman"/>
                <w:lang w:eastAsia="fr-FR"/>
              </w:rPr>
              <w:t xml:space="preserve"> par les Institutions financières monétaires</w:t>
            </w:r>
            <w:r w:rsidR="002E77CD">
              <w:rPr>
                <w:rFonts w:ascii="Garamond" w:eastAsia="Times New Roman" w:hAnsi="Garamond" w:cs="Times New Roman"/>
                <w:lang w:eastAsia="fr-FR"/>
              </w:rPr>
              <w:t xml:space="preserve"> (IFM)</w:t>
            </w:r>
            <w:r w:rsidR="00955B4B">
              <w:rPr>
                <w:rFonts w:ascii="Garamond" w:eastAsia="Times New Roman" w:hAnsi="Garamond" w:cs="Times New Roman"/>
                <w:lang w:eastAsia="fr-FR"/>
              </w:rPr>
              <w:t xml:space="preserve"> (telles que définies dans l’</w:t>
            </w:r>
            <w:r w:rsidR="00E87591" w:rsidRPr="00955B4B">
              <w:rPr>
                <w:rFonts w:ascii="Garamond" w:eastAsia="Times New Roman" w:hAnsi="Garamond" w:cs="Times New Roman"/>
                <w:lang w:eastAsia="fr-FR"/>
              </w:rPr>
              <w:t xml:space="preserve">Article 1 </w:t>
            </w:r>
            <w:r w:rsidR="00292BF5">
              <w:rPr>
                <w:rFonts w:ascii="Garamond" w:eastAsia="Times New Roman" w:hAnsi="Garamond" w:cs="Times New Roman"/>
                <w:lang w:eastAsia="fr-FR"/>
              </w:rPr>
              <w:t xml:space="preserve">du règlement </w:t>
            </w:r>
            <w:r w:rsidR="00E87591" w:rsidRPr="00955B4B">
              <w:rPr>
                <w:rFonts w:ascii="Garamond" w:eastAsia="Times New Roman" w:hAnsi="Garamond" w:cs="Times New Roman"/>
                <w:lang w:eastAsia="fr-FR"/>
              </w:rPr>
              <w:t>(</w:t>
            </w:r>
            <w:r w:rsidR="00292BF5">
              <w:rPr>
                <w:rFonts w:ascii="Garamond" w:eastAsia="Times New Roman" w:hAnsi="Garamond" w:cs="Times New Roman"/>
                <w:lang w:eastAsia="fr-FR"/>
              </w:rPr>
              <w:t>UE</w:t>
            </w:r>
            <w:r w:rsidR="00E87591" w:rsidRPr="00955B4B">
              <w:rPr>
                <w:rFonts w:ascii="Garamond" w:eastAsia="Times New Roman" w:hAnsi="Garamond" w:cs="Times New Roman"/>
                <w:lang w:eastAsia="fr-FR"/>
              </w:rPr>
              <w:t xml:space="preserve">) No 1071/2013 (ECB/2013/33). </w:t>
            </w:r>
            <w:r w:rsidR="002E77CD" w:rsidRPr="00327CDD">
              <w:rPr>
                <w:rFonts w:ascii="Garamond" w:eastAsia="Times New Roman" w:hAnsi="Garamond" w:cs="Times New Roman"/>
                <w:lang w:eastAsia="fr-FR"/>
              </w:rPr>
              <w:t>Ce secteur comprend les BCN (S.121), les établissements de crédit tels que définis par le droit de l’Union, les OPC monétaires (S.123), les autres institutions financières dont l’activité consiste à recevoir des dépôts et/ou de proches substituts des dépôts de la part d’entités autres que les IFM, et à octroyer des crédits et/ou effectuer des placements en valeurs mobilières pour leur propre compte, du moins en termes économiques, ainsi que les établissements de monnaie électronique dont la fonction principale consiste à fournir des services d’intermédiation financière en émettant de la monnaie électronique (S.122).</w:t>
            </w:r>
          </w:p>
        </w:tc>
      </w:tr>
      <w:tr w:rsidR="00A05A3A" w:rsidRPr="00C20B08" w14:paraId="3F0086DF" w14:textId="77777777" w:rsidTr="00A05A3A">
        <w:trPr>
          <w:trHeight w:val="300"/>
        </w:trPr>
        <w:tc>
          <w:tcPr>
            <w:tcW w:w="2709" w:type="dxa"/>
            <w:tcBorders>
              <w:top w:val="nil"/>
              <w:left w:val="single" w:sz="4" w:space="0" w:color="auto"/>
              <w:bottom w:val="single" w:sz="4" w:space="0" w:color="auto"/>
              <w:right w:val="single" w:sz="4" w:space="0" w:color="auto"/>
            </w:tcBorders>
            <w:shd w:val="clear" w:color="auto" w:fill="auto"/>
            <w:vAlign w:val="center"/>
          </w:tcPr>
          <w:p w14:paraId="357C5880" w14:textId="77777777" w:rsidR="00A05A3A" w:rsidRPr="00C20B08" w:rsidRDefault="00EF4367" w:rsidP="00DF6746">
            <w:pPr>
              <w:spacing w:after="0" w:line="240" w:lineRule="auto"/>
              <w:jc w:val="center"/>
              <w:rPr>
                <w:rFonts w:ascii="Garamond" w:eastAsia="Times New Roman" w:hAnsi="Garamond" w:cs="Times New Roman"/>
                <w:lang w:eastAsia="fr-FR"/>
              </w:rPr>
            </w:pPr>
            <w:r w:rsidRPr="00DE7F8E">
              <w:rPr>
                <w:rFonts w:ascii="Garamond" w:eastAsia="Times New Roman" w:hAnsi="Garamond" w:cs="Times New Roman"/>
                <w:lang w:eastAsia="fr-FR"/>
              </w:rPr>
              <w:t>Dont prêts, titres de créance non négociables, titres de trésorerie et obligations nominatives émis par des institutions non-IFM</w:t>
            </w:r>
          </w:p>
        </w:tc>
        <w:tc>
          <w:tcPr>
            <w:tcW w:w="850" w:type="dxa"/>
            <w:tcBorders>
              <w:top w:val="nil"/>
              <w:left w:val="single" w:sz="4" w:space="0" w:color="auto"/>
              <w:bottom w:val="single" w:sz="4" w:space="0" w:color="auto"/>
              <w:right w:val="single" w:sz="4" w:space="0" w:color="auto"/>
            </w:tcBorders>
            <w:shd w:val="clear" w:color="auto" w:fill="auto"/>
            <w:vAlign w:val="center"/>
          </w:tcPr>
          <w:p w14:paraId="7E5C0821" w14:textId="77777777" w:rsidR="00A05A3A" w:rsidRPr="00C20B08" w:rsidRDefault="00A05A3A" w:rsidP="001A63D9">
            <w:pPr>
              <w:spacing w:after="0" w:line="240" w:lineRule="auto"/>
              <w:jc w:val="center"/>
              <w:rPr>
                <w:rFonts w:ascii="Garamond" w:eastAsia="Times New Roman" w:hAnsi="Garamond" w:cs="Times New Roman"/>
                <w:lang w:eastAsia="fr-FR"/>
              </w:rPr>
            </w:pPr>
            <w:r>
              <w:rPr>
                <w:rFonts w:ascii="Garamond" w:eastAsia="Times New Roman" w:hAnsi="Garamond" w:cs="Times New Roman"/>
                <w:lang w:eastAsia="fr-FR"/>
              </w:rPr>
              <w:t>ER0062</w:t>
            </w:r>
          </w:p>
        </w:tc>
        <w:tc>
          <w:tcPr>
            <w:tcW w:w="5528" w:type="dxa"/>
            <w:tcBorders>
              <w:top w:val="nil"/>
              <w:left w:val="single" w:sz="4" w:space="0" w:color="auto"/>
              <w:bottom w:val="single" w:sz="4" w:space="0" w:color="auto"/>
              <w:right w:val="single" w:sz="4" w:space="0" w:color="auto"/>
            </w:tcBorders>
          </w:tcPr>
          <w:p w14:paraId="2BB0CDD4" w14:textId="77777777" w:rsidR="0083292B" w:rsidRDefault="0083292B" w:rsidP="0083292B">
            <w:pPr>
              <w:spacing w:after="0" w:line="240" w:lineRule="auto"/>
              <w:rPr>
                <w:rFonts w:ascii="Garamond" w:eastAsia="Times New Roman" w:hAnsi="Garamond" w:cs="Times New Roman"/>
                <w:lang w:val="en-US" w:eastAsia="fr-FR"/>
              </w:rPr>
            </w:pPr>
            <w:proofErr w:type="spellStart"/>
            <w:r>
              <w:rPr>
                <w:rFonts w:ascii="Garamond" w:eastAsia="Times New Roman" w:hAnsi="Garamond" w:cs="Times New Roman"/>
                <w:lang w:val="en-US" w:eastAsia="fr-FR"/>
              </w:rPr>
              <w:t>Catégorie</w:t>
            </w:r>
            <w:proofErr w:type="spellEnd"/>
            <w:r>
              <w:rPr>
                <w:rFonts w:ascii="Garamond" w:eastAsia="Times New Roman" w:hAnsi="Garamond" w:cs="Times New Roman"/>
                <w:lang w:val="en-US" w:eastAsia="fr-FR"/>
              </w:rPr>
              <w:t xml:space="preserve"> </w:t>
            </w:r>
            <w:proofErr w:type="spellStart"/>
            <w:r>
              <w:rPr>
                <w:rFonts w:ascii="Garamond" w:eastAsia="Times New Roman" w:hAnsi="Garamond" w:cs="Times New Roman"/>
                <w:lang w:val="en-US" w:eastAsia="fr-FR"/>
              </w:rPr>
              <w:t>comprenant</w:t>
            </w:r>
            <w:proofErr w:type="spellEnd"/>
            <w:r>
              <w:rPr>
                <w:rFonts w:ascii="Garamond" w:eastAsia="Times New Roman" w:hAnsi="Garamond" w:cs="Times New Roman"/>
                <w:lang w:val="en-US" w:eastAsia="fr-FR"/>
              </w:rPr>
              <w:t xml:space="preserve"> </w:t>
            </w:r>
          </w:p>
          <w:p w14:paraId="38D510F6" w14:textId="7BC90D8E" w:rsidR="0083292B" w:rsidRDefault="00064771" w:rsidP="0083292B">
            <w:pPr>
              <w:pStyle w:val="Paragraphedeliste"/>
              <w:numPr>
                <w:ilvl w:val="0"/>
                <w:numId w:val="9"/>
              </w:numPr>
              <w:spacing w:after="0" w:line="240" w:lineRule="auto"/>
              <w:rPr>
                <w:rFonts w:ascii="Garamond" w:eastAsia="Times New Roman" w:hAnsi="Garamond" w:cs="Times New Roman"/>
                <w:lang w:eastAsia="fr-FR"/>
              </w:rPr>
            </w:pPr>
            <w:proofErr w:type="gramStart"/>
            <w:r>
              <w:rPr>
                <w:rFonts w:ascii="Garamond" w:eastAsia="Times New Roman" w:hAnsi="Garamond" w:cs="Times New Roman"/>
                <w:lang w:eastAsia="fr-FR"/>
              </w:rPr>
              <w:t>prêt</w:t>
            </w:r>
            <w:proofErr w:type="gramEnd"/>
            <w:r>
              <w:rPr>
                <w:rFonts w:ascii="Garamond" w:eastAsia="Times New Roman" w:hAnsi="Garamond" w:cs="Times New Roman"/>
                <w:lang w:eastAsia="fr-FR"/>
              </w:rPr>
              <w:t xml:space="preserve"> (</w:t>
            </w:r>
            <w:proofErr w:type="spellStart"/>
            <w:r w:rsidRPr="00777366">
              <w:rPr>
                <w:rFonts w:ascii="Garamond" w:eastAsia="Times New Roman" w:hAnsi="Garamond" w:cs="Times New Roman"/>
                <w:lang w:eastAsia="fr-FR"/>
              </w:rPr>
              <w:t>Schuldscheindarlehen</w:t>
            </w:r>
            <w:proofErr w:type="spellEnd"/>
            <w:r>
              <w:rPr>
                <w:rFonts w:ascii="Garamond" w:eastAsia="Times New Roman" w:hAnsi="Garamond" w:cs="Times New Roman"/>
                <w:lang w:eastAsia="fr-FR"/>
              </w:rPr>
              <w:t>)</w:t>
            </w:r>
            <w:r w:rsidRPr="00955B4B">
              <w:rPr>
                <w:rFonts w:ascii="Garamond" w:eastAsia="Times New Roman" w:hAnsi="Garamond" w:cs="Times New Roman"/>
                <w:lang w:eastAsia="fr-FR"/>
              </w:rPr>
              <w:t>,</w:t>
            </w:r>
          </w:p>
          <w:p w14:paraId="60F88A20" w14:textId="77777777" w:rsidR="0083292B" w:rsidRDefault="0083292B" w:rsidP="0083292B">
            <w:pPr>
              <w:pStyle w:val="Paragraphedeliste"/>
              <w:numPr>
                <w:ilvl w:val="0"/>
                <w:numId w:val="9"/>
              </w:numPr>
              <w:spacing w:after="0" w:line="240" w:lineRule="auto"/>
              <w:rPr>
                <w:rFonts w:ascii="Garamond" w:eastAsia="Times New Roman" w:hAnsi="Garamond" w:cs="Times New Roman"/>
                <w:lang w:eastAsia="fr-FR"/>
              </w:rPr>
            </w:pPr>
            <w:r w:rsidRPr="00955B4B">
              <w:rPr>
                <w:rFonts w:ascii="Garamond" w:eastAsia="Times New Roman" w:hAnsi="Garamond" w:cs="Times New Roman"/>
                <w:lang w:eastAsia="fr-FR"/>
              </w:rPr>
              <w:t>Tit</w:t>
            </w:r>
            <w:r w:rsidR="00064771">
              <w:rPr>
                <w:rFonts w:ascii="Garamond" w:eastAsia="Times New Roman" w:hAnsi="Garamond" w:cs="Times New Roman"/>
                <w:lang w:eastAsia="fr-FR"/>
              </w:rPr>
              <w:t>res de créance non négociables (</w:t>
            </w:r>
            <w:proofErr w:type="spellStart"/>
            <w:r w:rsidR="00064771" w:rsidRPr="000A2237">
              <w:rPr>
                <w:rFonts w:ascii="Garamond" w:eastAsia="Times New Roman" w:hAnsi="Garamond" w:cs="Times New Roman"/>
                <w:lang w:eastAsia="fr-FR"/>
              </w:rPr>
              <w:t>nicht</w:t>
            </w:r>
            <w:proofErr w:type="spellEnd"/>
            <w:r w:rsidR="00064771" w:rsidRPr="000A2237">
              <w:rPr>
                <w:rFonts w:ascii="Garamond" w:eastAsia="Times New Roman" w:hAnsi="Garamond" w:cs="Times New Roman"/>
                <w:lang w:eastAsia="fr-FR"/>
              </w:rPr>
              <w:t xml:space="preserve"> </w:t>
            </w:r>
            <w:proofErr w:type="spellStart"/>
            <w:r w:rsidR="00064771" w:rsidRPr="000A2237">
              <w:rPr>
                <w:rFonts w:ascii="Garamond" w:eastAsia="Times New Roman" w:hAnsi="Garamond" w:cs="Times New Roman"/>
                <w:lang w:eastAsia="fr-FR"/>
              </w:rPr>
              <w:t>handelbare</w:t>
            </w:r>
            <w:proofErr w:type="spellEnd"/>
            <w:r w:rsidR="00064771" w:rsidRPr="000A2237">
              <w:rPr>
                <w:rFonts w:ascii="Garamond" w:eastAsia="Times New Roman" w:hAnsi="Garamond" w:cs="Times New Roman"/>
                <w:lang w:eastAsia="fr-FR"/>
              </w:rPr>
              <w:t xml:space="preserve"> </w:t>
            </w:r>
            <w:proofErr w:type="spellStart"/>
            <w:r w:rsidR="00064771" w:rsidRPr="000A2237">
              <w:rPr>
                <w:rFonts w:ascii="Garamond" w:eastAsia="Times New Roman" w:hAnsi="Garamond" w:cs="Times New Roman"/>
                <w:lang w:eastAsia="fr-FR"/>
              </w:rPr>
              <w:t>Schuldverschreibungen</w:t>
            </w:r>
            <w:proofErr w:type="spellEnd"/>
            <w:r w:rsidR="00064771">
              <w:rPr>
                <w:rFonts w:ascii="Garamond" w:eastAsia="Times New Roman" w:hAnsi="Garamond" w:cs="Times New Roman"/>
                <w:lang w:eastAsia="fr-FR"/>
              </w:rPr>
              <w:t>)</w:t>
            </w:r>
            <w:r w:rsidR="00064771" w:rsidRPr="00955B4B">
              <w:rPr>
                <w:rFonts w:ascii="Garamond" w:eastAsia="Times New Roman" w:hAnsi="Garamond" w:cs="Times New Roman"/>
                <w:lang w:eastAsia="fr-FR"/>
              </w:rPr>
              <w:t>,</w:t>
            </w:r>
          </w:p>
          <w:p w14:paraId="39D7E8E2" w14:textId="77777777" w:rsidR="0083292B" w:rsidRDefault="0083292B" w:rsidP="0083292B">
            <w:pPr>
              <w:pStyle w:val="Paragraphedeliste"/>
              <w:numPr>
                <w:ilvl w:val="0"/>
                <w:numId w:val="9"/>
              </w:numPr>
              <w:spacing w:after="0" w:line="240" w:lineRule="auto"/>
              <w:rPr>
                <w:rFonts w:ascii="Garamond" w:eastAsia="Times New Roman" w:hAnsi="Garamond" w:cs="Times New Roman"/>
                <w:lang w:eastAsia="fr-FR"/>
              </w:rPr>
            </w:pPr>
            <w:r>
              <w:rPr>
                <w:rFonts w:ascii="Garamond" w:eastAsia="Times New Roman" w:hAnsi="Garamond" w:cs="Times New Roman"/>
                <w:lang w:eastAsia="fr-FR"/>
              </w:rPr>
              <w:t>T</w:t>
            </w:r>
            <w:r w:rsidR="00064771">
              <w:rPr>
                <w:rFonts w:ascii="Garamond" w:eastAsia="Times New Roman" w:hAnsi="Garamond" w:cs="Times New Roman"/>
                <w:lang w:eastAsia="fr-FR"/>
              </w:rPr>
              <w:t>itres de trésorerie (</w:t>
            </w:r>
            <w:proofErr w:type="spellStart"/>
            <w:r w:rsidR="00064771" w:rsidRPr="000A2237">
              <w:rPr>
                <w:rFonts w:ascii="Garamond" w:eastAsia="Times New Roman" w:hAnsi="Garamond" w:cs="Times New Roman"/>
                <w:lang w:eastAsia="fr-FR"/>
              </w:rPr>
              <w:t>Geldmarktpapiere</w:t>
            </w:r>
            <w:proofErr w:type="spellEnd"/>
            <w:r w:rsidR="00064771">
              <w:rPr>
                <w:rFonts w:ascii="Garamond" w:eastAsia="Times New Roman" w:hAnsi="Garamond" w:cs="Times New Roman"/>
                <w:lang w:eastAsia="fr-FR"/>
              </w:rPr>
              <w:t>)</w:t>
            </w:r>
            <w:r w:rsidR="00064771" w:rsidRPr="00955B4B">
              <w:rPr>
                <w:rFonts w:ascii="Garamond" w:eastAsia="Times New Roman" w:hAnsi="Garamond" w:cs="Times New Roman"/>
                <w:lang w:eastAsia="fr-FR"/>
              </w:rPr>
              <w:t xml:space="preserve">, </w:t>
            </w:r>
            <w:r w:rsidRPr="00955B4B">
              <w:rPr>
                <w:rFonts w:ascii="Garamond" w:eastAsia="Times New Roman" w:hAnsi="Garamond" w:cs="Times New Roman"/>
                <w:lang w:eastAsia="fr-FR"/>
              </w:rPr>
              <w:t xml:space="preserve"> </w:t>
            </w:r>
          </w:p>
          <w:p w14:paraId="2B0DF839" w14:textId="6B19F8D8" w:rsidR="0083292B" w:rsidRDefault="0083292B" w:rsidP="0083292B">
            <w:pPr>
              <w:pStyle w:val="Paragraphedeliste"/>
              <w:numPr>
                <w:ilvl w:val="0"/>
                <w:numId w:val="9"/>
              </w:numPr>
              <w:spacing w:after="0" w:line="240" w:lineRule="auto"/>
              <w:rPr>
                <w:rFonts w:ascii="Garamond" w:eastAsia="Times New Roman" w:hAnsi="Garamond" w:cs="Times New Roman"/>
                <w:lang w:eastAsia="fr-FR"/>
              </w:rPr>
            </w:pPr>
            <w:r>
              <w:rPr>
                <w:rFonts w:ascii="Garamond" w:eastAsia="Times New Roman" w:hAnsi="Garamond" w:cs="Times New Roman"/>
                <w:lang w:eastAsia="fr-FR"/>
              </w:rPr>
              <w:t>O</w:t>
            </w:r>
            <w:r w:rsidRPr="00955B4B">
              <w:rPr>
                <w:rFonts w:ascii="Garamond" w:eastAsia="Times New Roman" w:hAnsi="Garamond" w:cs="Times New Roman"/>
                <w:lang w:eastAsia="fr-FR"/>
              </w:rPr>
              <w:t>bligations nominatives</w:t>
            </w:r>
            <w:r w:rsidR="00064771">
              <w:rPr>
                <w:rFonts w:ascii="Garamond" w:eastAsia="Times New Roman" w:hAnsi="Garamond" w:cs="Times New Roman"/>
                <w:lang w:eastAsia="fr-FR"/>
              </w:rPr>
              <w:t xml:space="preserve"> </w:t>
            </w:r>
            <w:r w:rsidR="00064771" w:rsidRPr="0064759C">
              <w:rPr>
                <w:rFonts w:ascii="Garamond" w:eastAsia="Times New Roman" w:hAnsi="Garamond" w:cs="Times New Roman"/>
                <w:lang w:eastAsia="fr-FR"/>
              </w:rPr>
              <w:t>(</w:t>
            </w:r>
            <w:proofErr w:type="spellStart"/>
            <w:r w:rsidR="00064771" w:rsidRPr="0064759C">
              <w:rPr>
                <w:rFonts w:ascii="Garamond" w:eastAsia="Times New Roman" w:hAnsi="Garamond" w:cs="Times New Roman"/>
                <w:lang w:eastAsia="fr-FR"/>
              </w:rPr>
              <w:t>Namensschuldverschreibungen</w:t>
            </w:r>
            <w:proofErr w:type="spellEnd"/>
            <w:r w:rsidR="00064771" w:rsidRPr="0064759C">
              <w:rPr>
                <w:rFonts w:ascii="Garamond" w:eastAsia="Times New Roman" w:hAnsi="Garamond" w:cs="Times New Roman"/>
                <w:lang w:eastAsia="fr-FR"/>
              </w:rPr>
              <w:t>,</w:t>
            </w:r>
            <w:r w:rsidR="00064771" w:rsidRPr="000A2237">
              <w:rPr>
                <w:rFonts w:ascii="Garamond" w:eastAsia="Times New Roman" w:hAnsi="Garamond" w:cs="Times New Roman"/>
                <w:lang w:eastAsia="fr-FR"/>
              </w:rPr>
              <w:t xml:space="preserve"> “N-bonds”, o</w:t>
            </w:r>
            <w:r w:rsidR="00064771" w:rsidRPr="0064759C">
              <w:rPr>
                <w:rFonts w:ascii="Garamond" w:eastAsia="Times New Roman" w:hAnsi="Garamond" w:cs="Times New Roman"/>
                <w:lang w:eastAsia="fr-FR"/>
              </w:rPr>
              <w:t>u</w:t>
            </w:r>
            <w:r w:rsidR="00064771" w:rsidRPr="000A2237">
              <w:rPr>
                <w:rFonts w:ascii="Garamond" w:eastAsia="Times New Roman" w:hAnsi="Garamond" w:cs="Times New Roman"/>
                <w:lang w:eastAsia="fr-FR"/>
              </w:rPr>
              <w:t xml:space="preserve"> instruments</w:t>
            </w:r>
            <w:r w:rsidR="00064771" w:rsidRPr="0064759C">
              <w:rPr>
                <w:rFonts w:ascii="Garamond" w:eastAsia="Times New Roman" w:hAnsi="Garamond" w:cs="Times New Roman"/>
                <w:lang w:eastAsia="fr-FR"/>
              </w:rPr>
              <w:t xml:space="preserve"> équivalents</w:t>
            </w:r>
            <w:r w:rsidR="00064771" w:rsidRPr="000A2237">
              <w:rPr>
                <w:rFonts w:ascii="Garamond" w:eastAsia="Times New Roman" w:hAnsi="Garamond" w:cs="Times New Roman"/>
                <w:lang w:eastAsia="fr-FR"/>
              </w:rPr>
              <w:t xml:space="preserve"> </w:t>
            </w:r>
            <w:r w:rsidR="00064771" w:rsidRPr="0064759C">
              <w:rPr>
                <w:rFonts w:ascii="Garamond" w:eastAsia="Times New Roman" w:hAnsi="Garamond" w:cs="Times New Roman"/>
                <w:lang w:eastAsia="fr-FR"/>
              </w:rPr>
              <w:t>qui</w:t>
            </w:r>
            <w:r w:rsidR="00064771" w:rsidRPr="000A2237">
              <w:rPr>
                <w:rFonts w:ascii="Garamond" w:eastAsia="Times New Roman" w:hAnsi="Garamond" w:cs="Times New Roman"/>
                <w:lang w:eastAsia="fr-FR"/>
              </w:rPr>
              <w:t xml:space="preserve"> </w:t>
            </w:r>
            <w:r w:rsidR="00064771">
              <w:rPr>
                <w:rFonts w:ascii="Garamond" w:eastAsia="Times New Roman" w:hAnsi="Garamond" w:cs="Times New Roman"/>
                <w:lang w:eastAsia="fr-FR"/>
              </w:rPr>
              <w:t>ne sont pas négoc</w:t>
            </w:r>
            <w:r w:rsidR="00064771" w:rsidRPr="000A2237">
              <w:rPr>
                <w:rFonts w:ascii="Garamond" w:eastAsia="Times New Roman" w:hAnsi="Garamond" w:cs="Times New Roman"/>
                <w:lang w:eastAsia="fr-FR"/>
              </w:rPr>
              <w:t>iable</w:t>
            </w:r>
            <w:r w:rsidR="00064771">
              <w:rPr>
                <w:rFonts w:ascii="Garamond" w:eastAsia="Times New Roman" w:hAnsi="Garamond" w:cs="Times New Roman"/>
                <w:lang w:eastAsia="fr-FR"/>
              </w:rPr>
              <w:t>s</w:t>
            </w:r>
            <w:r w:rsidR="00064771" w:rsidRPr="000A2237">
              <w:rPr>
                <w:rFonts w:ascii="Garamond" w:eastAsia="Times New Roman" w:hAnsi="Garamond" w:cs="Times New Roman"/>
                <w:lang w:eastAsia="fr-FR"/>
              </w:rPr>
              <w:t>)</w:t>
            </w:r>
          </w:p>
          <w:p w14:paraId="51F87F8B" w14:textId="77777777" w:rsidR="0083292B" w:rsidRDefault="0083292B" w:rsidP="0083292B">
            <w:pPr>
              <w:spacing w:after="0" w:line="240" w:lineRule="auto"/>
              <w:rPr>
                <w:rFonts w:ascii="Garamond" w:eastAsia="Times New Roman" w:hAnsi="Garamond" w:cs="Times New Roman"/>
                <w:lang w:eastAsia="fr-FR"/>
              </w:rPr>
            </w:pPr>
          </w:p>
          <w:p w14:paraId="4541D35C" w14:textId="5E6C64D6" w:rsidR="0083292B" w:rsidRDefault="00DA10DD" w:rsidP="0083292B">
            <w:pPr>
              <w:spacing w:after="0" w:line="240" w:lineRule="auto"/>
              <w:rPr>
                <w:rFonts w:ascii="Garamond" w:eastAsia="Times New Roman" w:hAnsi="Garamond" w:cs="Times New Roman"/>
                <w:lang w:eastAsia="fr-FR"/>
              </w:rPr>
            </w:pPr>
            <w:r>
              <w:rPr>
                <w:rFonts w:ascii="Garamond" w:eastAsia="Times New Roman" w:hAnsi="Garamond" w:cs="Times New Roman"/>
                <w:lang w:eastAsia="fr-FR"/>
              </w:rPr>
              <w:t>Émis</w:t>
            </w:r>
            <w:r w:rsidR="00B355A4">
              <w:rPr>
                <w:rFonts w:ascii="Garamond" w:eastAsia="Times New Roman" w:hAnsi="Garamond" w:cs="Times New Roman"/>
                <w:lang w:eastAsia="fr-FR"/>
              </w:rPr>
              <w:t xml:space="preserve"> par d</w:t>
            </w:r>
            <w:r w:rsidR="0083292B" w:rsidRPr="00955B4B">
              <w:rPr>
                <w:rFonts w:ascii="Garamond" w:eastAsia="Times New Roman" w:hAnsi="Garamond" w:cs="Times New Roman"/>
                <w:lang w:eastAsia="fr-FR"/>
              </w:rPr>
              <w:t xml:space="preserve">es Institutions </w:t>
            </w:r>
            <w:r w:rsidR="00B355A4">
              <w:rPr>
                <w:rFonts w:ascii="Garamond" w:eastAsia="Times New Roman" w:hAnsi="Garamond" w:cs="Times New Roman"/>
                <w:lang w:eastAsia="fr-FR"/>
              </w:rPr>
              <w:t xml:space="preserve">qui ne sont pas des </w:t>
            </w:r>
            <w:r w:rsidR="00292BF5">
              <w:rPr>
                <w:rFonts w:ascii="Garamond" w:eastAsia="Times New Roman" w:hAnsi="Garamond" w:cs="Times New Roman"/>
                <w:lang w:eastAsia="fr-FR"/>
              </w:rPr>
              <w:t>I</w:t>
            </w:r>
            <w:r w:rsidR="00B355A4">
              <w:rPr>
                <w:rFonts w:ascii="Garamond" w:eastAsia="Times New Roman" w:hAnsi="Garamond" w:cs="Times New Roman"/>
                <w:lang w:eastAsia="fr-FR"/>
              </w:rPr>
              <w:t xml:space="preserve">nstitutions </w:t>
            </w:r>
            <w:r w:rsidR="0083292B" w:rsidRPr="00955B4B">
              <w:rPr>
                <w:rFonts w:ascii="Garamond" w:eastAsia="Times New Roman" w:hAnsi="Garamond" w:cs="Times New Roman"/>
                <w:lang w:eastAsia="fr-FR"/>
              </w:rPr>
              <w:t>financières monétaires</w:t>
            </w:r>
            <w:r w:rsidR="0083292B">
              <w:rPr>
                <w:rFonts w:ascii="Garamond" w:eastAsia="Times New Roman" w:hAnsi="Garamond" w:cs="Times New Roman"/>
                <w:lang w:eastAsia="fr-FR"/>
              </w:rPr>
              <w:t xml:space="preserve"> </w:t>
            </w:r>
            <w:r w:rsidR="00064771">
              <w:rPr>
                <w:rFonts w:ascii="Garamond" w:eastAsia="Times New Roman" w:hAnsi="Garamond" w:cs="Times New Roman"/>
                <w:lang w:eastAsia="fr-FR"/>
              </w:rPr>
              <w:t xml:space="preserve">(IFM) </w:t>
            </w:r>
            <w:r w:rsidR="0083292B">
              <w:rPr>
                <w:rFonts w:ascii="Garamond" w:eastAsia="Times New Roman" w:hAnsi="Garamond" w:cs="Times New Roman"/>
                <w:lang w:eastAsia="fr-FR"/>
              </w:rPr>
              <w:t>(telles que définies dans l’</w:t>
            </w:r>
            <w:r w:rsidR="0083292B" w:rsidRPr="00955B4B">
              <w:rPr>
                <w:rFonts w:ascii="Garamond" w:eastAsia="Times New Roman" w:hAnsi="Garamond" w:cs="Times New Roman"/>
                <w:lang w:eastAsia="fr-FR"/>
              </w:rPr>
              <w:t xml:space="preserve">Article 1 </w:t>
            </w:r>
            <w:r w:rsidR="00292BF5">
              <w:rPr>
                <w:rFonts w:ascii="Garamond" w:eastAsia="Times New Roman" w:hAnsi="Garamond" w:cs="Times New Roman"/>
                <w:lang w:eastAsia="fr-FR"/>
              </w:rPr>
              <w:t xml:space="preserve">du règlement </w:t>
            </w:r>
            <w:r w:rsidR="0083292B" w:rsidRPr="00955B4B">
              <w:rPr>
                <w:rFonts w:ascii="Garamond" w:eastAsia="Times New Roman" w:hAnsi="Garamond" w:cs="Times New Roman"/>
                <w:lang w:eastAsia="fr-FR"/>
              </w:rPr>
              <w:t>(U</w:t>
            </w:r>
            <w:r w:rsidR="00292BF5">
              <w:rPr>
                <w:rFonts w:ascii="Garamond" w:eastAsia="Times New Roman" w:hAnsi="Garamond" w:cs="Times New Roman"/>
                <w:lang w:eastAsia="fr-FR"/>
              </w:rPr>
              <w:t>E</w:t>
            </w:r>
            <w:r w:rsidR="0083292B" w:rsidRPr="00955B4B">
              <w:rPr>
                <w:rFonts w:ascii="Garamond" w:eastAsia="Times New Roman" w:hAnsi="Garamond" w:cs="Times New Roman"/>
                <w:lang w:eastAsia="fr-FR"/>
              </w:rPr>
              <w:t xml:space="preserve">) No 1071/2013 (ECB/2013/33). </w:t>
            </w:r>
          </w:p>
          <w:p w14:paraId="09563E6D" w14:textId="77777777" w:rsidR="00064771" w:rsidRDefault="00064771" w:rsidP="0083292B">
            <w:pPr>
              <w:spacing w:after="0" w:line="240" w:lineRule="auto"/>
              <w:rPr>
                <w:rFonts w:ascii="Garamond" w:eastAsia="Times New Roman" w:hAnsi="Garamond" w:cs="Times New Roman"/>
                <w:lang w:eastAsia="fr-FR"/>
              </w:rPr>
            </w:pPr>
          </w:p>
          <w:p w14:paraId="06EFF7C2" w14:textId="7F655502" w:rsidR="00A05A3A" w:rsidRPr="00C20B08" w:rsidRDefault="00064771" w:rsidP="001A63D9">
            <w:pPr>
              <w:spacing w:after="0" w:line="240" w:lineRule="auto"/>
              <w:rPr>
                <w:rFonts w:ascii="Garamond" w:eastAsia="Times New Roman" w:hAnsi="Garamond" w:cs="Times New Roman"/>
                <w:lang w:eastAsia="fr-FR"/>
              </w:rPr>
            </w:pPr>
            <w:r>
              <w:rPr>
                <w:rFonts w:ascii="Garamond" w:eastAsia="Times New Roman" w:hAnsi="Garamond" w:cs="Times New Roman"/>
                <w:lang w:eastAsia="fr-FR"/>
              </w:rPr>
              <w:t>Les non-IFM incluent tous les émetteurs autres que des IFM.</w:t>
            </w:r>
          </w:p>
        </w:tc>
      </w:tr>
      <w:tr w:rsidR="00BC02DF" w:rsidRPr="00C20B08" w14:paraId="25D12C47" w14:textId="77777777" w:rsidTr="00A05A3A">
        <w:trPr>
          <w:trHeight w:val="300"/>
        </w:trPr>
        <w:tc>
          <w:tcPr>
            <w:tcW w:w="2709" w:type="dxa"/>
            <w:tcBorders>
              <w:top w:val="nil"/>
              <w:left w:val="single" w:sz="4" w:space="0" w:color="auto"/>
              <w:bottom w:val="single" w:sz="4" w:space="0" w:color="auto"/>
              <w:right w:val="single" w:sz="4" w:space="0" w:color="auto"/>
            </w:tcBorders>
            <w:shd w:val="clear" w:color="auto" w:fill="auto"/>
            <w:vAlign w:val="center"/>
            <w:hideMark/>
          </w:tcPr>
          <w:p w14:paraId="1242F819" w14:textId="77777777" w:rsidR="00BC02DF" w:rsidRPr="00C20B08" w:rsidRDefault="00BC02DF" w:rsidP="00DF6746">
            <w:pPr>
              <w:spacing w:after="0" w:line="240" w:lineRule="auto"/>
              <w:jc w:val="center"/>
              <w:rPr>
                <w:rFonts w:ascii="Garamond" w:eastAsia="Times New Roman" w:hAnsi="Garamond" w:cs="Times New Roman"/>
                <w:lang w:eastAsia="fr-FR"/>
              </w:rPr>
            </w:pPr>
            <w:r w:rsidRPr="00C20B08">
              <w:rPr>
                <w:rFonts w:ascii="Garamond" w:eastAsia="Times New Roman" w:hAnsi="Garamond" w:cs="Times New Roman"/>
                <w:lang w:eastAsia="fr-FR"/>
              </w:rPr>
              <w:t>Obligations souveraines</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2E349DD1" w14:textId="77777777" w:rsidR="00BC02DF" w:rsidRPr="00C20B08" w:rsidRDefault="00BC02DF" w:rsidP="001A63D9">
            <w:pPr>
              <w:spacing w:after="0" w:line="240" w:lineRule="auto"/>
              <w:jc w:val="center"/>
              <w:rPr>
                <w:rFonts w:ascii="Garamond" w:eastAsia="Times New Roman" w:hAnsi="Garamond" w:cs="Times New Roman"/>
                <w:lang w:eastAsia="fr-FR"/>
              </w:rPr>
            </w:pPr>
            <w:r w:rsidRPr="00C20B08">
              <w:rPr>
                <w:rFonts w:ascii="Garamond" w:eastAsia="Times New Roman" w:hAnsi="Garamond" w:cs="Times New Roman"/>
                <w:lang w:eastAsia="fr-FR"/>
              </w:rPr>
              <w:t>R0070</w:t>
            </w:r>
          </w:p>
        </w:tc>
        <w:tc>
          <w:tcPr>
            <w:tcW w:w="5528" w:type="dxa"/>
            <w:tcBorders>
              <w:top w:val="nil"/>
              <w:left w:val="single" w:sz="4" w:space="0" w:color="auto"/>
              <w:bottom w:val="single" w:sz="4" w:space="0" w:color="auto"/>
              <w:right w:val="single" w:sz="4" w:space="0" w:color="auto"/>
            </w:tcBorders>
          </w:tcPr>
          <w:p w14:paraId="1776D943" w14:textId="15A6F5F5" w:rsidR="00292BF5" w:rsidRDefault="00BC02DF" w:rsidP="001A63D9">
            <w:pPr>
              <w:spacing w:after="0" w:line="240" w:lineRule="auto"/>
              <w:rPr>
                <w:rFonts w:ascii="Garamond" w:eastAsia="Times New Roman" w:hAnsi="Garamond" w:cs="Times New Roman"/>
                <w:lang w:eastAsia="fr-FR"/>
              </w:rPr>
            </w:pPr>
            <w:r w:rsidRPr="00C20B08">
              <w:rPr>
                <w:rFonts w:ascii="Garamond" w:eastAsia="Times New Roman" w:hAnsi="Garamond" w:cs="Times New Roman"/>
                <w:lang w:eastAsia="fr-FR"/>
              </w:rPr>
              <w:t>Obligations émises par des autorités publiques (institutions gouvernementales supranationales, administrations centrales, régionales ou locales)</w:t>
            </w:r>
            <w:r w:rsidR="00292BF5">
              <w:rPr>
                <w:rFonts w:ascii="Garamond" w:eastAsia="Times New Roman" w:hAnsi="Garamond" w:cs="Times New Roman"/>
                <w:lang w:eastAsia="fr-FR"/>
              </w:rPr>
              <w:t>.</w:t>
            </w:r>
          </w:p>
          <w:p w14:paraId="73397185" w14:textId="77777777" w:rsidR="00292BF5" w:rsidRDefault="00292BF5" w:rsidP="001A63D9">
            <w:pPr>
              <w:spacing w:after="0" w:line="240" w:lineRule="auto"/>
              <w:rPr>
                <w:rFonts w:ascii="Garamond" w:eastAsia="Times New Roman" w:hAnsi="Garamond" w:cs="Times New Roman"/>
                <w:lang w:eastAsia="fr-FR"/>
              </w:rPr>
            </w:pPr>
          </w:p>
          <w:p w14:paraId="27CA7EC6" w14:textId="7016FF18" w:rsidR="00292BF5" w:rsidRPr="0042097E" w:rsidRDefault="00292BF5" w:rsidP="00292BF5">
            <w:pPr>
              <w:rPr>
                <w:rFonts w:ascii="Garamond" w:hAnsi="Garamond"/>
              </w:rPr>
            </w:pPr>
            <w:r>
              <w:rPr>
                <w:rFonts w:ascii="Garamond" w:hAnsi="Garamond"/>
              </w:rPr>
              <w:t>C</w:t>
            </w:r>
            <w:r w:rsidRPr="00C20B08">
              <w:rPr>
                <w:rFonts w:ascii="Garamond" w:hAnsi="Garamond"/>
              </w:rPr>
              <w:t xml:space="preserve">ode 48 </w:t>
            </w:r>
            <w:r>
              <w:rPr>
                <w:rFonts w:ascii="Garamond" w:hAnsi="Garamond"/>
              </w:rPr>
              <w:t>15 1 dans l’annexe 1 du règlement</w:t>
            </w:r>
            <w:r w:rsidRPr="0042097E">
              <w:rPr>
                <w:rFonts w:ascii="Garamond" w:hAnsi="Garamond"/>
              </w:rPr>
              <w:t xml:space="preserve"> </w:t>
            </w:r>
            <w:hyperlink r:id="rId14" w:history="1">
              <w:r>
                <w:rPr>
                  <w:rStyle w:val="Lienhypertexte"/>
                  <w:rFonts w:ascii="Garamond" w:hAnsi="Garamond"/>
                </w:rPr>
                <w:t>N°</w:t>
              </w:r>
              <w:r w:rsidRPr="0042097E">
                <w:rPr>
                  <w:rStyle w:val="Lienhypertexte"/>
                  <w:rFonts w:ascii="Garamond" w:hAnsi="Garamond"/>
                </w:rPr>
                <w:t xml:space="preserve"> 250/2009</w:t>
              </w:r>
            </w:hyperlink>
            <w:r>
              <w:rPr>
                <w:rFonts w:ascii="Garamond" w:hAnsi="Garamond"/>
              </w:rPr>
              <w:t xml:space="preserve"> de la commission</w:t>
            </w:r>
            <w:r w:rsidRPr="0042097E">
              <w:rPr>
                <w:rFonts w:ascii="Garamond" w:hAnsi="Garamond"/>
              </w:rPr>
              <w:t>, extrait</w:t>
            </w:r>
            <w:r>
              <w:rPr>
                <w:rFonts w:ascii="Garamond" w:hAnsi="Garamond"/>
              </w:rPr>
              <w:t xml:space="preserve"> </w:t>
            </w:r>
            <w:r w:rsidRPr="0042097E">
              <w:rPr>
                <w:rFonts w:ascii="Garamond" w:hAnsi="Garamond"/>
              </w:rPr>
              <w:t>:</w:t>
            </w:r>
          </w:p>
          <w:p w14:paraId="00ED2C82" w14:textId="426F15A4" w:rsidR="00BC02DF" w:rsidRPr="00C20B08" w:rsidRDefault="00292BF5" w:rsidP="001A63D9">
            <w:pPr>
              <w:spacing w:after="0" w:line="240" w:lineRule="auto"/>
              <w:rPr>
                <w:rFonts w:ascii="Garamond" w:eastAsia="Times New Roman" w:hAnsi="Garamond" w:cs="Times New Roman"/>
                <w:lang w:eastAsia="fr-FR"/>
              </w:rPr>
            </w:pPr>
            <w:r>
              <w:rPr>
                <w:rFonts w:ascii="Garamond" w:eastAsia="Times New Roman" w:hAnsi="Garamond" w:cs="Times New Roman"/>
                <w:lang w:eastAsia="fr-FR"/>
              </w:rPr>
              <w:t>« </w:t>
            </w:r>
            <w:r w:rsidRPr="00292BF5">
              <w:rPr>
                <w:rFonts w:ascii="Garamond" w:eastAsia="Times New Roman" w:hAnsi="Garamond" w:cs="Times New Roman"/>
                <w:lang w:eastAsia="fr-FR"/>
              </w:rPr>
              <w:t>Cette variable couvre les obligations et autres titres à revenu fixe, émis ou garantis par des administrations centrales ou</w:t>
            </w:r>
            <w:r>
              <w:rPr>
                <w:rFonts w:ascii="Garamond" w:eastAsia="Times New Roman" w:hAnsi="Garamond" w:cs="Times New Roman"/>
                <w:lang w:eastAsia="fr-FR"/>
              </w:rPr>
              <w:t xml:space="preserve"> </w:t>
            </w:r>
            <w:r w:rsidRPr="00292BF5">
              <w:rPr>
                <w:rFonts w:ascii="Garamond" w:eastAsia="Times New Roman" w:hAnsi="Garamond" w:cs="Times New Roman"/>
                <w:lang w:eastAsia="fr-FR"/>
              </w:rPr>
              <w:t>locales ou d'autres administrations publiques.</w:t>
            </w:r>
            <w:r>
              <w:rPr>
                <w:rFonts w:ascii="Garamond" w:eastAsia="Times New Roman" w:hAnsi="Garamond" w:cs="Times New Roman"/>
                <w:lang w:eastAsia="fr-FR"/>
              </w:rPr>
              <w:t> »</w:t>
            </w:r>
          </w:p>
        </w:tc>
      </w:tr>
      <w:tr w:rsidR="00BC02DF" w:rsidRPr="00C20B08" w14:paraId="7F8F6FA2" w14:textId="77777777" w:rsidTr="00A05A3A">
        <w:trPr>
          <w:trHeight w:val="300"/>
        </w:trPr>
        <w:tc>
          <w:tcPr>
            <w:tcW w:w="2709" w:type="dxa"/>
            <w:tcBorders>
              <w:top w:val="nil"/>
              <w:left w:val="single" w:sz="4" w:space="0" w:color="auto"/>
              <w:bottom w:val="single" w:sz="4" w:space="0" w:color="auto"/>
              <w:right w:val="single" w:sz="4" w:space="0" w:color="auto"/>
            </w:tcBorders>
            <w:shd w:val="clear" w:color="auto" w:fill="auto"/>
            <w:vAlign w:val="center"/>
            <w:hideMark/>
          </w:tcPr>
          <w:p w14:paraId="649C6A59" w14:textId="77777777" w:rsidR="00BC02DF" w:rsidRPr="00C20B08" w:rsidRDefault="00BC02DF" w:rsidP="00DF6746">
            <w:pPr>
              <w:spacing w:after="0" w:line="240" w:lineRule="auto"/>
              <w:jc w:val="center"/>
              <w:rPr>
                <w:rFonts w:ascii="Garamond" w:eastAsia="Times New Roman" w:hAnsi="Garamond" w:cs="Times New Roman"/>
                <w:lang w:eastAsia="fr-FR"/>
              </w:rPr>
            </w:pPr>
            <w:r w:rsidRPr="00C20B08">
              <w:rPr>
                <w:rFonts w:ascii="Garamond" w:eastAsia="Times New Roman" w:hAnsi="Garamond" w:cs="Times New Roman"/>
                <w:lang w:eastAsia="fr-FR"/>
              </w:rPr>
              <w:t>Obligations d'entreprises</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5FA8B368" w14:textId="77777777" w:rsidR="00BC02DF" w:rsidRPr="00C20B08" w:rsidRDefault="00BC02DF" w:rsidP="001A63D9">
            <w:pPr>
              <w:spacing w:after="0" w:line="240" w:lineRule="auto"/>
              <w:jc w:val="center"/>
              <w:rPr>
                <w:rFonts w:ascii="Garamond" w:eastAsia="Times New Roman" w:hAnsi="Garamond" w:cs="Times New Roman"/>
                <w:lang w:eastAsia="fr-FR"/>
              </w:rPr>
            </w:pPr>
            <w:r w:rsidRPr="00C20B08">
              <w:rPr>
                <w:rFonts w:ascii="Garamond" w:eastAsia="Times New Roman" w:hAnsi="Garamond" w:cs="Times New Roman"/>
                <w:lang w:eastAsia="fr-FR"/>
              </w:rPr>
              <w:t>R0080</w:t>
            </w:r>
          </w:p>
        </w:tc>
        <w:tc>
          <w:tcPr>
            <w:tcW w:w="5528" w:type="dxa"/>
            <w:tcBorders>
              <w:top w:val="nil"/>
              <w:left w:val="single" w:sz="4" w:space="0" w:color="auto"/>
              <w:bottom w:val="single" w:sz="4" w:space="0" w:color="auto"/>
              <w:right w:val="single" w:sz="4" w:space="0" w:color="auto"/>
            </w:tcBorders>
          </w:tcPr>
          <w:p w14:paraId="3C901C03" w14:textId="4981897C" w:rsidR="00BC02DF" w:rsidRPr="00C20B08" w:rsidRDefault="00BC02DF" w:rsidP="00B61B6D">
            <w:pPr>
              <w:spacing w:after="0" w:line="240" w:lineRule="auto"/>
              <w:rPr>
                <w:rFonts w:ascii="Garamond" w:eastAsia="Times New Roman" w:hAnsi="Garamond" w:cs="Times New Roman"/>
                <w:lang w:eastAsia="fr-FR"/>
              </w:rPr>
            </w:pPr>
            <w:r w:rsidRPr="00C20B08">
              <w:rPr>
                <w:rFonts w:ascii="Garamond" w:eastAsia="Times New Roman" w:hAnsi="Garamond" w:cs="Times New Roman"/>
                <w:lang w:eastAsia="fr-FR"/>
              </w:rPr>
              <w:t>Obligations émises par des entreprises.</w:t>
            </w:r>
          </w:p>
        </w:tc>
      </w:tr>
      <w:tr w:rsidR="00BC02DF" w:rsidRPr="00C20B08" w14:paraId="53834D5C" w14:textId="77777777" w:rsidTr="00A05A3A">
        <w:trPr>
          <w:trHeight w:val="300"/>
        </w:trPr>
        <w:tc>
          <w:tcPr>
            <w:tcW w:w="2709" w:type="dxa"/>
            <w:tcBorders>
              <w:top w:val="nil"/>
              <w:left w:val="single" w:sz="4" w:space="0" w:color="auto"/>
              <w:bottom w:val="single" w:sz="4" w:space="0" w:color="auto"/>
              <w:right w:val="single" w:sz="4" w:space="0" w:color="auto"/>
            </w:tcBorders>
            <w:shd w:val="clear" w:color="auto" w:fill="auto"/>
            <w:vAlign w:val="center"/>
            <w:hideMark/>
          </w:tcPr>
          <w:p w14:paraId="3CBAA42B" w14:textId="77777777" w:rsidR="00BC02DF" w:rsidRPr="00C20B08" w:rsidRDefault="00BC02DF" w:rsidP="00DF6746">
            <w:pPr>
              <w:spacing w:after="0" w:line="240" w:lineRule="auto"/>
              <w:jc w:val="center"/>
              <w:rPr>
                <w:rFonts w:ascii="Garamond" w:eastAsia="Times New Roman" w:hAnsi="Garamond" w:cs="Times New Roman"/>
                <w:lang w:eastAsia="fr-FR"/>
              </w:rPr>
            </w:pPr>
            <w:r w:rsidRPr="00C20B08">
              <w:rPr>
                <w:rFonts w:ascii="Garamond" w:eastAsia="Times New Roman" w:hAnsi="Garamond" w:cs="Times New Roman"/>
                <w:lang w:eastAsia="fr-FR"/>
              </w:rPr>
              <w:t>Obligations d'entreprises du secteur financier</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5F38EB72" w14:textId="77777777" w:rsidR="00BC02DF" w:rsidRPr="00C20B08" w:rsidRDefault="00BC02DF" w:rsidP="001A63D9">
            <w:pPr>
              <w:spacing w:after="0" w:line="240" w:lineRule="auto"/>
              <w:jc w:val="both"/>
              <w:rPr>
                <w:rFonts w:ascii="Garamond" w:eastAsia="Times New Roman" w:hAnsi="Garamond" w:cs="Times New Roman"/>
                <w:lang w:eastAsia="fr-FR"/>
              </w:rPr>
            </w:pPr>
            <w:r w:rsidRPr="00C20B08">
              <w:rPr>
                <w:rFonts w:ascii="Garamond" w:eastAsia="Times New Roman" w:hAnsi="Garamond" w:cs="Times New Roman"/>
                <w:lang w:eastAsia="fr-FR"/>
              </w:rPr>
              <w:t>R0090</w:t>
            </w:r>
          </w:p>
        </w:tc>
        <w:tc>
          <w:tcPr>
            <w:tcW w:w="5528" w:type="dxa"/>
            <w:tcBorders>
              <w:top w:val="nil"/>
              <w:left w:val="single" w:sz="4" w:space="0" w:color="auto"/>
              <w:bottom w:val="single" w:sz="4" w:space="0" w:color="auto"/>
              <w:right w:val="single" w:sz="4" w:space="0" w:color="auto"/>
            </w:tcBorders>
          </w:tcPr>
          <w:p w14:paraId="01707D4B" w14:textId="2819C698" w:rsidR="00BC02DF" w:rsidRPr="00C20B08" w:rsidRDefault="00D23570" w:rsidP="001A63D9">
            <w:pPr>
              <w:spacing w:after="0" w:line="240" w:lineRule="auto"/>
              <w:jc w:val="both"/>
              <w:rPr>
                <w:rFonts w:ascii="Garamond" w:eastAsia="Times New Roman" w:hAnsi="Garamond" w:cs="Times New Roman"/>
                <w:lang w:eastAsia="fr-FR"/>
              </w:rPr>
            </w:pPr>
            <w:r>
              <w:rPr>
                <w:rFonts w:ascii="Garamond" w:eastAsia="Times New Roman" w:hAnsi="Garamond" w:cs="Times New Roman"/>
                <w:lang w:eastAsia="fr-FR"/>
              </w:rPr>
              <w:t xml:space="preserve">Obligations émises par une société du secteur financier. Les sociétés du secteur financiers sont définis par la </w:t>
            </w:r>
            <w:r w:rsidR="009B0702">
              <w:rPr>
                <w:rFonts w:ascii="Garamond" w:eastAsia="Times New Roman" w:hAnsi="Garamond" w:cs="Times New Roman"/>
                <w:lang w:eastAsia="fr-FR"/>
              </w:rPr>
              <w:t>classification</w:t>
            </w:r>
            <w:r>
              <w:rPr>
                <w:rFonts w:ascii="Garamond" w:eastAsia="Times New Roman" w:hAnsi="Garamond" w:cs="Times New Roman"/>
                <w:lang w:eastAsia="fr-FR"/>
              </w:rPr>
              <w:t xml:space="preserve"> NACE comme appartenant au secteur K : « activités financière et d’assurance ».</w:t>
            </w:r>
          </w:p>
        </w:tc>
      </w:tr>
      <w:tr w:rsidR="00BC02DF" w:rsidRPr="00C20B08" w14:paraId="04024AF5" w14:textId="77777777" w:rsidTr="00A05A3A">
        <w:trPr>
          <w:trHeight w:val="300"/>
        </w:trPr>
        <w:tc>
          <w:tcPr>
            <w:tcW w:w="2709" w:type="dxa"/>
            <w:tcBorders>
              <w:top w:val="nil"/>
              <w:left w:val="single" w:sz="4" w:space="0" w:color="auto"/>
              <w:bottom w:val="single" w:sz="4" w:space="0" w:color="auto"/>
              <w:right w:val="single" w:sz="4" w:space="0" w:color="auto"/>
            </w:tcBorders>
            <w:shd w:val="clear" w:color="auto" w:fill="auto"/>
            <w:vAlign w:val="center"/>
            <w:hideMark/>
          </w:tcPr>
          <w:p w14:paraId="6F3B9537" w14:textId="77777777" w:rsidR="00BC02DF" w:rsidRPr="00C20B08" w:rsidRDefault="00BC02DF" w:rsidP="00DF6746">
            <w:pPr>
              <w:spacing w:after="0" w:line="240" w:lineRule="auto"/>
              <w:jc w:val="center"/>
              <w:rPr>
                <w:rFonts w:ascii="Garamond" w:eastAsia="Times New Roman" w:hAnsi="Garamond" w:cs="Times New Roman"/>
                <w:lang w:eastAsia="fr-FR"/>
              </w:rPr>
            </w:pPr>
            <w:r w:rsidRPr="00C20B08">
              <w:rPr>
                <w:rFonts w:ascii="Garamond" w:eastAsia="Times New Roman" w:hAnsi="Garamond" w:cs="Times New Roman"/>
                <w:lang w:eastAsia="fr-FR"/>
              </w:rPr>
              <w:t>Obligations d'entreprises hors secteur financier</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5BD85FA2" w14:textId="77777777" w:rsidR="00BC02DF" w:rsidRPr="00C20B08" w:rsidRDefault="00BC02DF" w:rsidP="001A63D9">
            <w:pPr>
              <w:spacing w:after="0" w:line="240" w:lineRule="auto"/>
              <w:jc w:val="center"/>
              <w:rPr>
                <w:rFonts w:ascii="Garamond" w:eastAsia="Times New Roman" w:hAnsi="Garamond" w:cs="Times New Roman"/>
                <w:lang w:eastAsia="fr-FR"/>
              </w:rPr>
            </w:pPr>
            <w:r w:rsidRPr="00C20B08">
              <w:rPr>
                <w:rFonts w:ascii="Garamond" w:eastAsia="Times New Roman" w:hAnsi="Garamond" w:cs="Times New Roman"/>
                <w:lang w:eastAsia="fr-FR"/>
              </w:rPr>
              <w:t>R0100</w:t>
            </w:r>
          </w:p>
        </w:tc>
        <w:tc>
          <w:tcPr>
            <w:tcW w:w="5528" w:type="dxa"/>
            <w:tcBorders>
              <w:top w:val="nil"/>
              <w:left w:val="single" w:sz="4" w:space="0" w:color="auto"/>
              <w:bottom w:val="single" w:sz="4" w:space="0" w:color="auto"/>
              <w:right w:val="single" w:sz="4" w:space="0" w:color="auto"/>
            </w:tcBorders>
          </w:tcPr>
          <w:p w14:paraId="039847AC" w14:textId="77992216" w:rsidR="00BC02DF" w:rsidRPr="00C20B08" w:rsidRDefault="00D23570" w:rsidP="00DA10DD">
            <w:pPr>
              <w:spacing w:after="0" w:line="240" w:lineRule="auto"/>
              <w:jc w:val="both"/>
              <w:rPr>
                <w:rFonts w:ascii="Garamond" w:eastAsia="Times New Roman" w:hAnsi="Garamond" w:cs="Times New Roman"/>
                <w:lang w:eastAsia="fr-FR"/>
              </w:rPr>
            </w:pPr>
            <w:r w:rsidRPr="00D23570">
              <w:rPr>
                <w:rFonts w:ascii="Garamond" w:eastAsia="Times New Roman" w:hAnsi="Garamond" w:cs="Times New Roman"/>
                <w:lang w:eastAsia="fr-FR"/>
              </w:rPr>
              <w:t xml:space="preserve">Obligations </w:t>
            </w:r>
            <w:r>
              <w:rPr>
                <w:rFonts w:ascii="Garamond" w:eastAsia="Times New Roman" w:hAnsi="Garamond" w:cs="Times New Roman"/>
                <w:lang w:eastAsia="fr-FR"/>
              </w:rPr>
              <w:t xml:space="preserve">émises par des </w:t>
            </w:r>
            <w:r w:rsidRPr="00D23570">
              <w:rPr>
                <w:rFonts w:ascii="Garamond" w:eastAsia="Times New Roman" w:hAnsi="Garamond" w:cs="Times New Roman"/>
                <w:lang w:eastAsia="fr-FR"/>
              </w:rPr>
              <w:t>entreprises hors secteur financier</w:t>
            </w:r>
            <w:r>
              <w:rPr>
                <w:rFonts w:ascii="Garamond" w:eastAsia="Times New Roman" w:hAnsi="Garamond" w:cs="Times New Roman"/>
                <w:lang w:eastAsia="fr-FR"/>
              </w:rPr>
              <w:t>.</w:t>
            </w:r>
          </w:p>
        </w:tc>
      </w:tr>
      <w:tr w:rsidR="00BC02DF" w:rsidRPr="00C20B08" w14:paraId="3E3582F6" w14:textId="77777777" w:rsidTr="00A05A3A">
        <w:trPr>
          <w:trHeight w:val="300"/>
        </w:trPr>
        <w:tc>
          <w:tcPr>
            <w:tcW w:w="2709" w:type="dxa"/>
            <w:tcBorders>
              <w:top w:val="nil"/>
              <w:left w:val="single" w:sz="4" w:space="0" w:color="auto"/>
              <w:bottom w:val="single" w:sz="4" w:space="0" w:color="auto"/>
              <w:right w:val="single" w:sz="4" w:space="0" w:color="auto"/>
            </w:tcBorders>
            <w:shd w:val="clear" w:color="auto" w:fill="auto"/>
            <w:vAlign w:val="center"/>
            <w:hideMark/>
          </w:tcPr>
          <w:p w14:paraId="670258B1" w14:textId="77777777" w:rsidR="00BC02DF" w:rsidRPr="00C20B08" w:rsidRDefault="00BC02DF" w:rsidP="00DF6746">
            <w:pPr>
              <w:spacing w:after="0" w:line="240" w:lineRule="auto"/>
              <w:jc w:val="center"/>
              <w:rPr>
                <w:rFonts w:ascii="Garamond" w:eastAsia="Times New Roman" w:hAnsi="Garamond" w:cs="Times New Roman"/>
                <w:lang w:eastAsia="fr-FR"/>
              </w:rPr>
            </w:pPr>
            <w:r w:rsidRPr="00C20B08">
              <w:rPr>
                <w:rFonts w:ascii="Garamond" w:eastAsia="Times New Roman" w:hAnsi="Garamond" w:cs="Times New Roman"/>
                <w:lang w:eastAsia="fr-FR"/>
              </w:rPr>
              <w:t>Obligations non listées dans les catégories précédentes</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60116746" w14:textId="77777777" w:rsidR="00BC02DF" w:rsidRPr="00C20B08" w:rsidRDefault="00BC02DF" w:rsidP="001A63D9">
            <w:pPr>
              <w:spacing w:after="0" w:line="240" w:lineRule="auto"/>
              <w:jc w:val="center"/>
              <w:rPr>
                <w:rFonts w:ascii="Garamond" w:eastAsia="Times New Roman" w:hAnsi="Garamond" w:cs="Times New Roman"/>
                <w:lang w:eastAsia="fr-FR"/>
              </w:rPr>
            </w:pPr>
            <w:r w:rsidRPr="00C20B08">
              <w:rPr>
                <w:rFonts w:ascii="Garamond" w:eastAsia="Times New Roman" w:hAnsi="Garamond" w:cs="Times New Roman"/>
                <w:lang w:eastAsia="fr-FR"/>
              </w:rPr>
              <w:t>R0110</w:t>
            </w:r>
          </w:p>
        </w:tc>
        <w:tc>
          <w:tcPr>
            <w:tcW w:w="5528" w:type="dxa"/>
            <w:tcBorders>
              <w:top w:val="nil"/>
              <w:left w:val="single" w:sz="4" w:space="0" w:color="auto"/>
              <w:bottom w:val="single" w:sz="4" w:space="0" w:color="auto"/>
              <w:right w:val="single" w:sz="4" w:space="0" w:color="auto"/>
            </w:tcBorders>
          </w:tcPr>
          <w:p w14:paraId="374DC96F" w14:textId="364F99DE" w:rsidR="00BC02DF" w:rsidRPr="00C20B08" w:rsidRDefault="00BC02DF" w:rsidP="001A63D9">
            <w:pPr>
              <w:spacing w:after="0" w:line="240" w:lineRule="auto"/>
              <w:rPr>
                <w:rFonts w:ascii="Garamond" w:eastAsia="Times New Roman" w:hAnsi="Garamond" w:cs="Times New Roman"/>
                <w:lang w:eastAsia="fr-FR"/>
              </w:rPr>
            </w:pPr>
            <w:r w:rsidRPr="00C20B08">
              <w:rPr>
                <w:rFonts w:ascii="Garamond" w:eastAsia="Times New Roman" w:hAnsi="Garamond" w:cs="Times New Roman"/>
                <w:lang w:eastAsia="fr-FR"/>
              </w:rPr>
              <w:t>Obligations</w:t>
            </w:r>
            <w:r w:rsidR="00C93DF8">
              <w:rPr>
                <w:rFonts w:ascii="Garamond" w:eastAsia="Times New Roman" w:hAnsi="Garamond" w:cs="Times New Roman"/>
                <w:lang w:eastAsia="fr-FR"/>
              </w:rPr>
              <w:t xml:space="preserve"> </w:t>
            </w:r>
            <w:r w:rsidRPr="00C20B08">
              <w:rPr>
                <w:rFonts w:ascii="Garamond" w:eastAsia="Times New Roman" w:hAnsi="Garamond" w:cs="Times New Roman"/>
                <w:lang w:eastAsia="fr-FR"/>
              </w:rPr>
              <w:t xml:space="preserve">qui ne </w:t>
            </w:r>
            <w:r w:rsidR="00C93DF8">
              <w:rPr>
                <w:rFonts w:ascii="Garamond" w:eastAsia="Times New Roman" w:hAnsi="Garamond" w:cs="Times New Roman"/>
                <w:lang w:eastAsia="fr-FR"/>
              </w:rPr>
              <w:t>sont pas pris</w:t>
            </w:r>
            <w:r w:rsidR="009B0702">
              <w:rPr>
                <w:rFonts w:ascii="Garamond" w:eastAsia="Times New Roman" w:hAnsi="Garamond" w:cs="Times New Roman"/>
                <w:lang w:eastAsia="fr-FR"/>
              </w:rPr>
              <w:t>es</w:t>
            </w:r>
            <w:r w:rsidR="00C93DF8">
              <w:rPr>
                <w:rFonts w:ascii="Garamond" w:eastAsia="Times New Roman" w:hAnsi="Garamond" w:cs="Times New Roman"/>
                <w:lang w:eastAsia="fr-FR"/>
              </w:rPr>
              <w:t xml:space="preserve"> en compte dans les</w:t>
            </w:r>
            <w:r w:rsidR="009B0702">
              <w:rPr>
                <w:rFonts w:ascii="Garamond" w:eastAsia="Times New Roman" w:hAnsi="Garamond" w:cs="Times New Roman"/>
                <w:lang w:eastAsia="fr-FR"/>
              </w:rPr>
              <w:t xml:space="preserve"> </w:t>
            </w:r>
            <w:r w:rsidR="00317B5B">
              <w:rPr>
                <w:rFonts w:ascii="Garamond" w:eastAsia="Times New Roman" w:hAnsi="Garamond" w:cs="Times New Roman"/>
                <w:lang w:eastAsia="fr-FR"/>
              </w:rPr>
              <w:t>r</w:t>
            </w:r>
            <w:r w:rsidR="00C93DF8">
              <w:rPr>
                <w:rFonts w:ascii="Garamond" w:eastAsia="Times New Roman" w:hAnsi="Garamond" w:cs="Times New Roman"/>
                <w:lang w:eastAsia="fr-FR"/>
              </w:rPr>
              <w:t>ubriques R0070 à R0100.</w:t>
            </w:r>
            <w:r w:rsidRPr="00C20B08">
              <w:rPr>
                <w:rFonts w:ascii="Garamond" w:eastAsia="Times New Roman" w:hAnsi="Garamond" w:cs="Times New Roman"/>
                <w:lang w:eastAsia="fr-FR"/>
              </w:rPr>
              <w:t xml:space="preserve"> </w:t>
            </w:r>
          </w:p>
        </w:tc>
      </w:tr>
      <w:tr w:rsidR="00BC02DF" w:rsidRPr="00C20B08" w14:paraId="184E1D0B" w14:textId="77777777" w:rsidTr="00A05A3A">
        <w:trPr>
          <w:trHeight w:val="300"/>
        </w:trPr>
        <w:tc>
          <w:tcPr>
            <w:tcW w:w="2709" w:type="dxa"/>
            <w:tcBorders>
              <w:top w:val="nil"/>
              <w:left w:val="single" w:sz="4" w:space="0" w:color="auto"/>
              <w:bottom w:val="single" w:sz="4" w:space="0" w:color="auto"/>
              <w:right w:val="single" w:sz="4" w:space="0" w:color="auto"/>
            </w:tcBorders>
            <w:shd w:val="clear" w:color="auto" w:fill="auto"/>
            <w:vAlign w:val="center"/>
            <w:hideMark/>
          </w:tcPr>
          <w:p w14:paraId="25EDF6D4" w14:textId="77777777" w:rsidR="00BC02DF" w:rsidRPr="00C20B08" w:rsidRDefault="00BC02DF" w:rsidP="00DF6746">
            <w:pPr>
              <w:spacing w:after="0" w:line="240" w:lineRule="auto"/>
              <w:jc w:val="center"/>
              <w:rPr>
                <w:rFonts w:ascii="Garamond" w:eastAsia="Times New Roman" w:hAnsi="Garamond" w:cs="Times New Roman"/>
                <w:lang w:eastAsia="fr-FR"/>
              </w:rPr>
            </w:pPr>
            <w:r w:rsidRPr="00C20B08">
              <w:rPr>
                <w:rFonts w:ascii="Garamond" w:eastAsia="Times New Roman" w:hAnsi="Garamond" w:cs="Times New Roman"/>
                <w:lang w:eastAsia="fr-FR"/>
              </w:rPr>
              <w:t>Parts de fonds d'investissements</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3522E63A" w14:textId="77777777" w:rsidR="00BC02DF" w:rsidRPr="00C20B08" w:rsidRDefault="00BC02DF" w:rsidP="001A63D9">
            <w:pPr>
              <w:spacing w:after="0" w:line="240" w:lineRule="auto"/>
              <w:jc w:val="center"/>
              <w:rPr>
                <w:rFonts w:ascii="Garamond" w:eastAsia="Times New Roman" w:hAnsi="Garamond" w:cs="Times New Roman"/>
                <w:lang w:eastAsia="fr-FR"/>
              </w:rPr>
            </w:pPr>
            <w:r w:rsidRPr="00C20B08">
              <w:rPr>
                <w:rFonts w:ascii="Garamond" w:eastAsia="Times New Roman" w:hAnsi="Garamond" w:cs="Times New Roman"/>
                <w:lang w:eastAsia="fr-FR"/>
              </w:rPr>
              <w:t>R0120</w:t>
            </w:r>
          </w:p>
        </w:tc>
        <w:tc>
          <w:tcPr>
            <w:tcW w:w="5528" w:type="dxa"/>
            <w:tcBorders>
              <w:top w:val="nil"/>
              <w:left w:val="single" w:sz="4" w:space="0" w:color="auto"/>
              <w:bottom w:val="single" w:sz="4" w:space="0" w:color="auto"/>
              <w:right w:val="single" w:sz="4" w:space="0" w:color="auto"/>
            </w:tcBorders>
          </w:tcPr>
          <w:p w14:paraId="7200807D" w14:textId="2C38CBD8" w:rsidR="00BC02DF" w:rsidRPr="00C20B08" w:rsidRDefault="00C93DF8" w:rsidP="00B61B6D">
            <w:pPr>
              <w:spacing w:after="0" w:line="240" w:lineRule="auto"/>
              <w:rPr>
                <w:rFonts w:ascii="Garamond" w:eastAsia="Times New Roman" w:hAnsi="Garamond" w:cs="Times New Roman"/>
                <w:lang w:eastAsia="fr-FR"/>
              </w:rPr>
            </w:pPr>
            <w:r>
              <w:rPr>
                <w:rFonts w:ascii="Garamond" w:eastAsia="Times New Roman" w:hAnsi="Garamond" w:cs="Times New Roman"/>
                <w:lang w:eastAsia="fr-FR"/>
              </w:rPr>
              <w:t>Valeur total</w:t>
            </w:r>
            <w:r w:rsidR="00B50612">
              <w:rPr>
                <w:rFonts w:ascii="Garamond" w:eastAsia="Times New Roman" w:hAnsi="Garamond" w:cs="Times New Roman"/>
                <w:lang w:eastAsia="fr-FR"/>
              </w:rPr>
              <w:t>e</w:t>
            </w:r>
            <w:r>
              <w:rPr>
                <w:rFonts w:ascii="Garamond" w:eastAsia="Times New Roman" w:hAnsi="Garamond" w:cs="Times New Roman"/>
                <w:lang w:eastAsia="fr-FR"/>
              </w:rPr>
              <w:t xml:space="preserve"> des investissements/part</w:t>
            </w:r>
            <w:r w:rsidR="004B5234">
              <w:rPr>
                <w:rFonts w:ascii="Garamond" w:eastAsia="Times New Roman" w:hAnsi="Garamond" w:cs="Times New Roman"/>
                <w:lang w:eastAsia="fr-FR"/>
              </w:rPr>
              <w:t>s</w:t>
            </w:r>
            <w:r>
              <w:rPr>
                <w:rFonts w:ascii="Garamond" w:eastAsia="Times New Roman" w:hAnsi="Garamond" w:cs="Times New Roman"/>
                <w:lang w:eastAsia="fr-FR"/>
              </w:rPr>
              <w:t xml:space="preserve"> dans des fonds d’investissement (classification AF.52 de l’annexe 7.1 du SEC 2010).</w:t>
            </w:r>
          </w:p>
        </w:tc>
      </w:tr>
      <w:tr w:rsidR="00BC02DF" w:rsidRPr="00C20B08" w14:paraId="73C200F0" w14:textId="77777777" w:rsidTr="00A05A3A">
        <w:trPr>
          <w:trHeight w:val="300"/>
        </w:trPr>
        <w:tc>
          <w:tcPr>
            <w:tcW w:w="2709" w:type="dxa"/>
            <w:tcBorders>
              <w:top w:val="nil"/>
              <w:left w:val="single" w:sz="4" w:space="0" w:color="auto"/>
              <w:bottom w:val="single" w:sz="4" w:space="0" w:color="auto"/>
              <w:right w:val="single" w:sz="4" w:space="0" w:color="auto"/>
            </w:tcBorders>
            <w:shd w:val="clear" w:color="auto" w:fill="auto"/>
            <w:vAlign w:val="center"/>
            <w:hideMark/>
          </w:tcPr>
          <w:p w14:paraId="07BCFC8D" w14:textId="77777777" w:rsidR="00BC02DF" w:rsidRPr="00313B33" w:rsidRDefault="00BC02DF" w:rsidP="00DF6746">
            <w:pPr>
              <w:spacing w:after="0" w:line="240" w:lineRule="auto"/>
              <w:jc w:val="center"/>
              <w:rPr>
                <w:rFonts w:ascii="Garamond" w:eastAsia="Times New Roman" w:hAnsi="Garamond" w:cs="Times New Roman"/>
                <w:lang w:eastAsia="fr-FR"/>
              </w:rPr>
            </w:pPr>
            <w:r w:rsidRPr="00313B33">
              <w:rPr>
                <w:rFonts w:ascii="Garamond" w:eastAsia="Times New Roman" w:hAnsi="Garamond" w:cs="Times New Roman"/>
                <w:lang w:eastAsia="fr-FR"/>
              </w:rPr>
              <w:t>OPCVM (ou fonds) obligataires</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7831609F" w14:textId="77777777" w:rsidR="00BC02DF" w:rsidRPr="00C20B08" w:rsidRDefault="00BC02DF" w:rsidP="001A63D9">
            <w:pPr>
              <w:spacing w:after="0" w:line="240" w:lineRule="auto"/>
              <w:jc w:val="center"/>
              <w:rPr>
                <w:rFonts w:ascii="Garamond" w:eastAsia="Times New Roman" w:hAnsi="Garamond" w:cs="Times New Roman"/>
                <w:lang w:eastAsia="fr-FR"/>
              </w:rPr>
            </w:pPr>
            <w:r w:rsidRPr="00C20B08">
              <w:rPr>
                <w:rFonts w:ascii="Garamond" w:eastAsia="Times New Roman" w:hAnsi="Garamond" w:cs="Times New Roman"/>
                <w:lang w:eastAsia="fr-FR"/>
              </w:rPr>
              <w:t>R0130</w:t>
            </w:r>
          </w:p>
        </w:tc>
        <w:tc>
          <w:tcPr>
            <w:tcW w:w="5528" w:type="dxa"/>
            <w:tcBorders>
              <w:top w:val="nil"/>
              <w:left w:val="single" w:sz="4" w:space="0" w:color="auto"/>
              <w:bottom w:val="single" w:sz="4" w:space="0" w:color="auto"/>
              <w:right w:val="single" w:sz="4" w:space="0" w:color="auto"/>
            </w:tcBorders>
          </w:tcPr>
          <w:p w14:paraId="4DA5FC04" w14:textId="24C32403" w:rsidR="00BC02DF" w:rsidRPr="00C20B08" w:rsidRDefault="00B61B6D" w:rsidP="00DA10DD">
            <w:pPr>
              <w:spacing w:after="0" w:line="240" w:lineRule="auto"/>
              <w:rPr>
                <w:rFonts w:ascii="Garamond" w:hAnsi="Garamond"/>
              </w:rPr>
            </w:pPr>
            <w:r>
              <w:rPr>
                <w:rFonts w:ascii="Garamond" w:hAnsi="Garamond"/>
              </w:rPr>
              <w:t>Organisme de placement collectif (OPC) investissant majoritairement dans des obligations.</w:t>
            </w:r>
          </w:p>
        </w:tc>
      </w:tr>
      <w:tr w:rsidR="00BC02DF" w:rsidRPr="00C20B08" w14:paraId="20E89D0E" w14:textId="77777777" w:rsidTr="00A05A3A">
        <w:trPr>
          <w:trHeight w:val="300"/>
        </w:trPr>
        <w:tc>
          <w:tcPr>
            <w:tcW w:w="2709" w:type="dxa"/>
            <w:tcBorders>
              <w:top w:val="nil"/>
              <w:left w:val="single" w:sz="4" w:space="0" w:color="auto"/>
              <w:bottom w:val="single" w:sz="4" w:space="0" w:color="auto"/>
              <w:right w:val="single" w:sz="4" w:space="0" w:color="auto"/>
            </w:tcBorders>
            <w:shd w:val="clear" w:color="auto" w:fill="auto"/>
            <w:vAlign w:val="center"/>
            <w:hideMark/>
          </w:tcPr>
          <w:p w14:paraId="74AAEF12" w14:textId="77777777" w:rsidR="00BC02DF" w:rsidRPr="00313B33" w:rsidRDefault="00BC02DF" w:rsidP="00DF6746">
            <w:pPr>
              <w:spacing w:after="0" w:line="240" w:lineRule="auto"/>
              <w:jc w:val="center"/>
              <w:rPr>
                <w:rFonts w:ascii="Garamond" w:eastAsia="Times New Roman" w:hAnsi="Garamond" w:cs="Times New Roman"/>
                <w:lang w:eastAsia="fr-FR"/>
              </w:rPr>
            </w:pPr>
            <w:r w:rsidRPr="00313B33">
              <w:rPr>
                <w:rFonts w:ascii="Garamond" w:eastAsia="Times New Roman" w:hAnsi="Garamond" w:cs="Times New Roman"/>
                <w:lang w:eastAsia="fr-FR"/>
              </w:rPr>
              <w:t>OPCVM (ou fonds) actions</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5CA2775B" w14:textId="77777777" w:rsidR="00BC02DF" w:rsidRPr="00C20B08" w:rsidRDefault="00BC02DF" w:rsidP="001A63D9">
            <w:pPr>
              <w:spacing w:after="0" w:line="240" w:lineRule="auto"/>
              <w:jc w:val="center"/>
              <w:rPr>
                <w:rFonts w:ascii="Garamond" w:eastAsia="Times New Roman" w:hAnsi="Garamond" w:cs="Times New Roman"/>
                <w:lang w:eastAsia="fr-FR"/>
              </w:rPr>
            </w:pPr>
            <w:r w:rsidRPr="00C20B08">
              <w:rPr>
                <w:rFonts w:ascii="Garamond" w:eastAsia="Times New Roman" w:hAnsi="Garamond" w:cs="Times New Roman"/>
                <w:lang w:eastAsia="fr-FR"/>
              </w:rPr>
              <w:t>R0140</w:t>
            </w:r>
          </w:p>
        </w:tc>
        <w:tc>
          <w:tcPr>
            <w:tcW w:w="5528" w:type="dxa"/>
            <w:tcBorders>
              <w:top w:val="nil"/>
              <w:left w:val="single" w:sz="4" w:space="0" w:color="auto"/>
              <w:bottom w:val="single" w:sz="4" w:space="0" w:color="auto"/>
              <w:right w:val="single" w:sz="4" w:space="0" w:color="auto"/>
            </w:tcBorders>
          </w:tcPr>
          <w:p w14:paraId="591BF73C" w14:textId="59F84969" w:rsidR="00BC02DF" w:rsidRPr="00C20B08" w:rsidRDefault="00B61B6D" w:rsidP="00DA10DD">
            <w:pPr>
              <w:spacing w:after="0" w:line="240" w:lineRule="auto"/>
              <w:rPr>
                <w:rFonts w:ascii="Garamond" w:hAnsi="Garamond"/>
              </w:rPr>
            </w:pPr>
            <w:r>
              <w:rPr>
                <w:rFonts w:ascii="Garamond" w:hAnsi="Garamond"/>
              </w:rPr>
              <w:t xml:space="preserve">Organisme de placement collectif (OPC) investissant majoritairement </w:t>
            </w:r>
            <w:r w:rsidR="00BC02DF" w:rsidRPr="00C20B08">
              <w:rPr>
                <w:rFonts w:ascii="Garamond" w:hAnsi="Garamond"/>
              </w:rPr>
              <w:t xml:space="preserve">sur les actions. </w:t>
            </w:r>
          </w:p>
        </w:tc>
      </w:tr>
      <w:tr w:rsidR="00BC02DF" w:rsidRPr="00C20B08" w14:paraId="5CD43A05" w14:textId="77777777" w:rsidTr="00A05A3A">
        <w:trPr>
          <w:trHeight w:val="300"/>
        </w:trPr>
        <w:tc>
          <w:tcPr>
            <w:tcW w:w="2709" w:type="dxa"/>
            <w:tcBorders>
              <w:top w:val="nil"/>
              <w:left w:val="single" w:sz="4" w:space="0" w:color="auto"/>
              <w:bottom w:val="single" w:sz="4" w:space="0" w:color="auto"/>
              <w:right w:val="single" w:sz="4" w:space="0" w:color="auto"/>
            </w:tcBorders>
            <w:shd w:val="clear" w:color="auto" w:fill="auto"/>
            <w:vAlign w:val="center"/>
            <w:hideMark/>
          </w:tcPr>
          <w:p w14:paraId="16DDD6EA" w14:textId="76762638" w:rsidR="00BC02DF" w:rsidRPr="00313B33" w:rsidRDefault="00BC02DF">
            <w:pPr>
              <w:spacing w:after="0" w:line="240" w:lineRule="auto"/>
              <w:jc w:val="center"/>
              <w:rPr>
                <w:rFonts w:ascii="Garamond" w:eastAsia="Times New Roman" w:hAnsi="Garamond" w:cs="Times New Roman"/>
                <w:lang w:eastAsia="fr-FR"/>
              </w:rPr>
            </w:pPr>
            <w:r w:rsidRPr="00313B33">
              <w:rPr>
                <w:rFonts w:ascii="Garamond" w:eastAsia="Times New Roman" w:hAnsi="Garamond" w:cs="Times New Roman"/>
                <w:lang w:eastAsia="fr-FR"/>
              </w:rPr>
              <w:t xml:space="preserve">OPCVM (ou fonds)  </w:t>
            </w:r>
            <w:r w:rsidR="00D76341">
              <w:rPr>
                <w:rFonts w:ascii="Garamond" w:eastAsia="Times New Roman" w:hAnsi="Garamond" w:cs="Times New Roman"/>
                <w:lang w:eastAsia="fr-FR"/>
              </w:rPr>
              <w:t>mixte</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578A84A8" w14:textId="77777777" w:rsidR="00BC02DF" w:rsidRPr="00C20B08" w:rsidRDefault="00BC02DF" w:rsidP="001A63D9">
            <w:pPr>
              <w:spacing w:after="0" w:line="240" w:lineRule="auto"/>
              <w:jc w:val="center"/>
              <w:rPr>
                <w:rFonts w:ascii="Garamond" w:eastAsia="Times New Roman" w:hAnsi="Garamond" w:cs="Times New Roman"/>
                <w:lang w:eastAsia="fr-FR"/>
              </w:rPr>
            </w:pPr>
            <w:r w:rsidRPr="00C20B08">
              <w:rPr>
                <w:rFonts w:ascii="Garamond" w:eastAsia="Times New Roman" w:hAnsi="Garamond" w:cs="Times New Roman"/>
                <w:lang w:eastAsia="fr-FR"/>
              </w:rPr>
              <w:t>R0150</w:t>
            </w:r>
          </w:p>
        </w:tc>
        <w:tc>
          <w:tcPr>
            <w:tcW w:w="5528" w:type="dxa"/>
            <w:tcBorders>
              <w:top w:val="nil"/>
              <w:left w:val="single" w:sz="4" w:space="0" w:color="auto"/>
              <w:bottom w:val="single" w:sz="4" w:space="0" w:color="auto"/>
              <w:right w:val="single" w:sz="4" w:space="0" w:color="auto"/>
            </w:tcBorders>
          </w:tcPr>
          <w:p w14:paraId="40A6DF60" w14:textId="23E98A3C" w:rsidR="00BC02DF" w:rsidRPr="00C20B08" w:rsidRDefault="00D76341" w:rsidP="00DA10DD">
            <w:pPr>
              <w:spacing w:after="0" w:line="240" w:lineRule="auto"/>
              <w:rPr>
                <w:rFonts w:ascii="Garamond" w:hAnsi="Garamond"/>
              </w:rPr>
            </w:pPr>
            <w:r>
              <w:rPr>
                <w:rFonts w:ascii="Garamond" w:hAnsi="Garamond"/>
              </w:rPr>
              <w:t>Organisme de placement collectif (OPC) investissant majoritairement dans des obligations et des actions.</w:t>
            </w:r>
          </w:p>
        </w:tc>
      </w:tr>
      <w:tr w:rsidR="00BC02DF" w:rsidRPr="00C20B08" w14:paraId="58DB8A56" w14:textId="77777777" w:rsidTr="00A05A3A">
        <w:trPr>
          <w:trHeight w:val="300"/>
        </w:trPr>
        <w:tc>
          <w:tcPr>
            <w:tcW w:w="2709" w:type="dxa"/>
            <w:tcBorders>
              <w:top w:val="nil"/>
              <w:left w:val="single" w:sz="4" w:space="0" w:color="auto"/>
              <w:bottom w:val="single" w:sz="4" w:space="0" w:color="auto"/>
              <w:right w:val="single" w:sz="4" w:space="0" w:color="auto"/>
            </w:tcBorders>
            <w:shd w:val="clear" w:color="auto" w:fill="auto"/>
            <w:vAlign w:val="center"/>
            <w:hideMark/>
          </w:tcPr>
          <w:p w14:paraId="54C2AAFB" w14:textId="51079406" w:rsidR="00BC02DF" w:rsidRPr="00313B33" w:rsidRDefault="00D76341" w:rsidP="00D5220C">
            <w:pPr>
              <w:spacing w:after="0" w:line="240" w:lineRule="auto"/>
              <w:jc w:val="center"/>
              <w:rPr>
                <w:rFonts w:ascii="Garamond" w:eastAsia="Times New Roman" w:hAnsi="Garamond" w:cs="Times New Roman"/>
                <w:lang w:eastAsia="fr-FR"/>
              </w:rPr>
            </w:pPr>
            <w:r w:rsidRPr="00313B33">
              <w:rPr>
                <w:rFonts w:ascii="Garamond" w:eastAsia="Times New Roman" w:hAnsi="Garamond" w:cs="Times New Roman"/>
                <w:lang w:eastAsia="fr-FR"/>
              </w:rPr>
              <w:t>OPCVM (ou fonds)  immobiliers</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4B263EDE" w14:textId="77777777" w:rsidR="00BC02DF" w:rsidRPr="00C20B08" w:rsidRDefault="00BC02DF" w:rsidP="001A63D9">
            <w:pPr>
              <w:spacing w:after="0" w:line="240" w:lineRule="auto"/>
              <w:jc w:val="center"/>
              <w:rPr>
                <w:rFonts w:ascii="Garamond" w:eastAsia="Times New Roman" w:hAnsi="Garamond" w:cs="Times New Roman"/>
                <w:lang w:eastAsia="fr-FR"/>
              </w:rPr>
            </w:pPr>
            <w:r w:rsidRPr="00C20B08">
              <w:rPr>
                <w:rFonts w:ascii="Garamond" w:eastAsia="Times New Roman" w:hAnsi="Garamond" w:cs="Times New Roman"/>
                <w:lang w:eastAsia="fr-FR"/>
              </w:rPr>
              <w:t>R0160</w:t>
            </w:r>
          </w:p>
        </w:tc>
        <w:tc>
          <w:tcPr>
            <w:tcW w:w="5528" w:type="dxa"/>
            <w:tcBorders>
              <w:top w:val="nil"/>
              <w:left w:val="single" w:sz="4" w:space="0" w:color="auto"/>
              <w:bottom w:val="single" w:sz="4" w:space="0" w:color="auto"/>
              <w:right w:val="single" w:sz="4" w:space="0" w:color="auto"/>
            </w:tcBorders>
          </w:tcPr>
          <w:p w14:paraId="143BE562" w14:textId="491185EC" w:rsidR="00D76341" w:rsidRPr="00C20B08" w:rsidRDefault="00D76341" w:rsidP="001A63D9">
            <w:pPr>
              <w:rPr>
                <w:rFonts w:ascii="Garamond" w:hAnsi="Garamond"/>
              </w:rPr>
            </w:pPr>
            <w:r>
              <w:rPr>
                <w:rFonts w:ascii="Garamond" w:hAnsi="Garamond"/>
              </w:rPr>
              <w:t xml:space="preserve">Organisme de placement collectif (OPC) investissant majoritairement </w:t>
            </w:r>
            <w:r w:rsidRPr="00C20B08">
              <w:rPr>
                <w:rFonts w:ascii="Garamond" w:hAnsi="Garamond"/>
              </w:rPr>
              <w:t xml:space="preserve">sur l’immobilier. </w:t>
            </w:r>
          </w:p>
        </w:tc>
      </w:tr>
      <w:tr w:rsidR="00BC02DF" w:rsidRPr="00C20B08" w14:paraId="69DD5A31" w14:textId="77777777" w:rsidTr="00A05A3A">
        <w:trPr>
          <w:trHeight w:val="300"/>
        </w:trPr>
        <w:tc>
          <w:tcPr>
            <w:tcW w:w="2709" w:type="dxa"/>
            <w:tcBorders>
              <w:top w:val="nil"/>
              <w:left w:val="single" w:sz="4" w:space="0" w:color="auto"/>
              <w:bottom w:val="single" w:sz="4" w:space="0" w:color="auto"/>
              <w:right w:val="single" w:sz="4" w:space="0" w:color="auto"/>
            </w:tcBorders>
            <w:shd w:val="clear" w:color="auto" w:fill="auto"/>
            <w:vAlign w:val="center"/>
            <w:hideMark/>
          </w:tcPr>
          <w:p w14:paraId="7956E5BF" w14:textId="77777777" w:rsidR="00BC02DF" w:rsidRPr="00313B33" w:rsidRDefault="00BC02DF" w:rsidP="00D5220C">
            <w:pPr>
              <w:spacing w:after="0" w:line="240" w:lineRule="auto"/>
              <w:jc w:val="center"/>
              <w:rPr>
                <w:rFonts w:ascii="Garamond" w:eastAsia="Times New Roman" w:hAnsi="Garamond" w:cs="Times New Roman"/>
                <w:lang w:eastAsia="fr-FR"/>
              </w:rPr>
            </w:pPr>
            <w:r w:rsidRPr="00313B33">
              <w:rPr>
                <w:rFonts w:ascii="Garamond" w:eastAsia="Times New Roman" w:hAnsi="Garamond" w:cs="Times New Roman"/>
                <w:lang w:eastAsia="fr-FR"/>
              </w:rPr>
              <w:t>Part de fonds alternatifs</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15B8CECB" w14:textId="77777777" w:rsidR="00BC02DF" w:rsidRPr="00C20B08" w:rsidRDefault="00BC02DF" w:rsidP="001A63D9">
            <w:pPr>
              <w:spacing w:after="0" w:line="240" w:lineRule="auto"/>
              <w:jc w:val="center"/>
              <w:rPr>
                <w:rFonts w:ascii="Garamond" w:eastAsia="Times New Roman" w:hAnsi="Garamond" w:cs="Times New Roman"/>
                <w:lang w:eastAsia="fr-FR"/>
              </w:rPr>
            </w:pPr>
            <w:r w:rsidRPr="00C20B08">
              <w:rPr>
                <w:rFonts w:ascii="Garamond" w:eastAsia="Times New Roman" w:hAnsi="Garamond" w:cs="Times New Roman"/>
                <w:lang w:eastAsia="fr-FR"/>
              </w:rPr>
              <w:t>R0170</w:t>
            </w:r>
          </w:p>
        </w:tc>
        <w:tc>
          <w:tcPr>
            <w:tcW w:w="5528" w:type="dxa"/>
            <w:tcBorders>
              <w:top w:val="nil"/>
              <w:left w:val="single" w:sz="4" w:space="0" w:color="auto"/>
              <w:bottom w:val="single" w:sz="4" w:space="0" w:color="auto"/>
              <w:right w:val="single" w:sz="4" w:space="0" w:color="auto"/>
            </w:tcBorders>
          </w:tcPr>
          <w:p w14:paraId="22C13A11" w14:textId="64F1767E" w:rsidR="00BC02DF" w:rsidRPr="00C20B08" w:rsidRDefault="00BC02DF" w:rsidP="00DD04AC">
            <w:pPr>
              <w:rPr>
                <w:rFonts w:ascii="Garamond" w:eastAsia="Times New Roman" w:hAnsi="Garamond" w:cs="Times New Roman"/>
                <w:lang w:eastAsia="fr-FR"/>
              </w:rPr>
            </w:pPr>
            <w:r w:rsidRPr="00C20B08">
              <w:rPr>
                <w:rFonts w:ascii="Garamond" w:hAnsi="Garamond"/>
              </w:rPr>
              <w:t xml:space="preserve">OPCVM ou fonds dont les </w:t>
            </w:r>
            <w:r w:rsidR="00D4571A" w:rsidRPr="00C20B08">
              <w:rPr>
                <w:rFonts w:ascii="Garamond" w:hAnsi="Garamond"/>
              </w:rPr>
              <w:t>stratégies</w:t>
            </w:r>
            <w:r w:rsidRPr="00C20B08">
              <w:rPr>
                <w:rFonts w:ascii="Garamond" w:hAnsi="Garamond"/>
              </w:rPr>
              <w:t xml:space="preserve"> d’investissement incluent des techniques (spéculatives) de couverture (</w:t>
            </w:r>
            <w:proofErr w:type="spellStart"/>
            <w:r w:rsidRPr="00C20B08">
              <w:rPr>
                <w:rFonts w:ascii="Garamond" w:hAnsi="Garamond"/>
              </w:rPr>
              <w:t>hedging</w:t>
            </w:r>
            <w:proofErr w:type="spellEnd"/>
            <w:r w:rsidRPr="00C20B08">
              <w:rPr>
                <w:rFonts w:ascii="Garamond" w:hAnsi="Garamond"/>
              </w:rPr>
              <w:t>), de stratégie « </w:t>
            </w:r>
            <w:proofErr w:type="spellStart"/>
            <w:r w:rsidRPr="00C20B08">
              <w:rPr>
                <w:rFonts w:ascii="Garamond" w:hAnsi="Garamond"/>
              </w:rPr>
              <w:t>event</w:t>
            </w:r>
            <w:proofErr w:type="spellEnd"/>
            <w:r w:rsidRPr="00C20B08">
              <w:rPr>
                <w:rFonts w:ascii="Garamond" w:hAnsi="Garamond"/>
              </w:rPr>
              <w:t xml:space="preserve"> </w:t>
            </w:r>
            <w:proofErr w:type="spellStart"/>
            <w:r w:rsidRPr="00C20B08">
              <w:rPr>
                <w:rFonts w:ascii="Garamond" w:hAnsi="Garamond"/>
              </w:rPr>
              <w:t>driven</w:t>
            </w:r>
            <w:proofErr w:type="spellEnd"/>
            <w:r w:rsidRPr="00C20B08">
              <w:rPr>
                <w:rFonts w:ascii="Garamond" w:hAnsi="Garamond"/>
              </w:rPr>
              <w:t> », ou fondées sur le comportement des titres à revenu fixes (</w:t>
            </w:r>
            <w:proofErr w:type="spellStart"/>
            <w:r w:rsidRPr="00C20B08">
              <w:rPr>
                <w:rFonts w:ascii="Garamond" w:hAnsi="Garamond"/>
              </w:rPr>
              <w:t>fixed</w:t>
            </w:r>
            <w:proofErr w:type="spellEnd"/>
            <w:r w:rsidRPr="00C20B08">
              <w:rPr>
                <w:rFonts w:ascii="Garamond" w:hAnsi="Garamond"/>
              </w:rPr>
              <w:t xml:space="preserve"> </w:t>
            </w:r>
            <w:proofErr w:type="spellStart"/>
            <w:r w:rsidRPr="00C20B08">
              <w:rPr>
                <w:rFonts w:ascii="Garamond" w:hAnsi="Garamond"/>
              </w:rPr>
              <w:t>income</w:t>
            </w:r>
            <w:proofErr w:type="spellEnd"/>
            <w:r w:rsidRPr="00C20B08">
              <w:rPr>
                <w:rFonts w:ascii="Garamond" w:hAnsi="Garamond"/>
              </w:rPr>
              <w:t xml:space="preserve"> </w:t>
            </w:r>
            <w:proofErr w:type="spellStart"/>
            <w:r w:rsidRPr="00C20B08">
              <w:rPr>
                <w:rFonts w:ascii="Garamond" w:hAnsi="Garamond"/>
              </w:rPr>
              <w:t>directional</w:t>
            </w:r>
            <w:proofErr w:type="spellEnd"/>
            <w:r w:rsidRPr="00C20B08">
              <w:rPr>
                <w:rFonts w:ascii="Garamond" w:hAnsi="Garamond"/>
              </w:rPr>
              <w:t>) ou des valeurs primaires (</w:t>
            </w:r>
            <w:proofErr w:type="spellStart"/>
            <w:r w:rsidRPr="00C20B08">
              <w:rPr>
                <w:rFonts w:ascii="Garamond" w:hAnsi="Garamond"/>
              </w:rPr>
              <w:t>commodities</w:t>
            </w:r>
            <w:proofErr w:type="spellEnd"/>
            <w:r w:rsidRPr="00C20B08">
              <w:rPr>
                <w:rFonts w:ascii="Garamond" w:hAnsi="Garamond"/>
              </w:rPr>
              <w:t>) ou sur des supports à la stratégie de « valeur relative » (relative value), de « futures », etc…</w:t>
            </w:r>
          </w:p>
        </w:tc>
      </w:tr>
      <w:tr w:rsidR="00BC02DF" w:rsidRPr="00C20B08" w14:paraId="2714935E" w14:textId="77777777" w:rsidTr="00A05A3A">
        <w:trPr>
          <w:trHeight w:val="300"/>
        </w:trPr>
        <w:tc>
          <w:tcPr>
            <w:tcW w:w="2709" w:type="dxa"/>
            <w:tcBorders>
              <w:top w:val="nil"/>
              <w:left w:val="single" w:sz="4" w:space="0" w:color="auto"/>
              <w:bottom w:val="single" w:sz="4" w:space="0" w:color="auto"/>
              <w:right w:val="single" w:sz="4" w:space="0" w:color="auto"/>
            </w:tcBorders>
            <w:shd w:val="clear" w:color="auto" w:fill="auto"/>
            <w:vAlign w:val="center"/>
            <w:hideMark/>
          </w:tcPr>
          <w:p w14:paraId="6BD9F698" w14:textId="77777777" w:rsidR="00BC02DF" w:rsidRPr="00313B33" w:rsidRDefault="00BC02DF" w:rsidP="00D5220C">
            <w:pPr>
              <w:spacing w:after="0" w:line="240" w:lineRule="auto"/>
              <w:jc w:val="center"/>
              <w:rPr>
                <w:rFonts w:ascii="Garamond" w:eastAsia="Times New Roman" w:hAnsi="Garamond" w:cs="Times New Roman"/>
                <w:lang w:eastAsia="fr-FR"/>
              </w:rPr>
            </w:pPr>
            <w:r w:rsidRPr="00313B33">
              <w:rPr>
                <w:rFonts w:ascii="Garamond" w:eastAsia="Times New Roman" w:hAnsi="Garamond" w:cs="Times New Roman"/>
                <w:lang w:eastAsia="fr-FR"/>
              </w:rPr>
              <w:t>Parts de fonds d'investissements autres</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23D61B88" w14:textId="77777777" w:rsidR="00BC02DF" w:rsidRPr="00C20B08" w:rsidRDefault="00BC02DF" w:rsidP="001A63D9">
            <w:pPr>
              <w:spacing w:after="0" w:line="240" w:lineRule="auto"/>
              <w:jc w:val="center"/>
              <w:rPr>
                <w:rFonts w:ascii="Garamond" w:eastAsia="Times New Roman" w:hAnsi="Garamond" w:cs="Times New Roman"/>
                <w:lang w:eastAsia="fr-FR"/>
              </w:rPr>
            </w:pPr>
            <w:r w:rsidRPr="00C20B08">
              <w:rPr>
                <w:rFonts w:ascii="Garamond" w:eastAsia="Times New Roman" w:hAnsi="Garamond" w:cs="Times New Roman"/>
                <w:lang w:eastAsia="fr-FR"/>
              </w:rPr>
              <w:t>R0180</w:t>
            </w:r>
          </w:p>
        </w:tc>
        <w:tc>
          <w:tcPr>
            <w:tcW w:w="5528" w:type="dxa"/>
            <w:tcBorders>
              <w:top w:val="nil"/>
              <w:left w:val="single" w:sz="4" w:space="0" w:color="auto"/>
              <w:bottom w:val="single" w:sz="4" w:space="0" w:color="auto"/>
              <w:right w:val="single" w:sz="4" w:space="0" w:color="auto"/>
            </w:tcBorders>
          </w:tcPr>
          <w:p w14:paraId="798965D5" w14:textId="7FE47B93" w:rsidR="00BC02DF" w:rsidRPr="00C20B08" w:rsidRDefault="00BC02DF">
            <w:pPr>
              <w:rPr>
                <w:rFonts w:ascii="Garamond" w:hAnsi="Garamond"/>
              </w:rPr>
            </w:pPr>
            <w:r w:rsidRPr="00C20B08">
              <w:rPr>
                <w:rFonts w:ascii="Garamond" w:hAnsi="Garamond"/>
              </w:rPr>
              <w:t>OPCVM ou fonds ou autre investissant majoritairement sur des catégories de support autres que celles citées dans les lignes R0130-R0170.</w:t>
            </w:r>
          </w:p>
        </w:tc>
      </w:tr>
      <w:tr w:rsidR="00BC02DF" w:rsidRPr="00C20B08" w14:paraId="3024A37A" w14:textId="77777777" w:rsidTr="00A05A3A">
        <w:trPr>
          <w:trHeight w:val="300"/>
        </w:trPr>
        <w:tc>
          <w:tcPr>
            <w:tcW w:w="2709" w:type="dxa"/>
            <w:tcBorders>
              <w:top w:val="nil"/>
              <w:left w:val="single" w:sz="4" w:space="0" w:color="auto"/>
              <w:bottom w:val="single" w:sz="4" w:space="0" w:color="auto"/>
              <w:right w:val="single" w:sz="4" w:space="0" w:color="auto"/>
            </w:tcBorders>
            <w:shd w:val="clear" w:color="auto" w:fill="auto"/>
            <w:vAlign w:val="center"/>
            <w:hideMark/>
          </w:tcPr>
          <w:p w14:paraId="5B6641B5" w14:textId="77777777" w:rsidR="00BC02DF" w:rsidRPr="00313B33" w:rsidRDefault="00BC02DF" w:rsidP="00D5220C">
            <w:pPr>
              <w:spacing w:after="0" w:line="240" w:lineRule="auto"/>
              <w:jc w:val="center"/>
              <w:rPr>
                <w:rFonts w:ascii="Garamond" w:eastAsia="Times New Roman" w:hAnsi="Garamond" w:cs="Times New Roman"/>
                <w:lang w:eastAsia="fr-FR"/>
              </w:rPr>
            </w:pPr>
            <w:r w:rsidRPr="00313B33">
              <w:rPr>
                <w:rFonts w:ascii="Garamond" w:eastAsia="Times New Roman" w:hAnsi="Garamond" w:cs="Times New Roman"/>
                <w:lang w:eastAsia="fr-FR"/>
              </w:rPr>
              <w:t>Produits dérivés</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7CF39E4F" w14:textId="77777777" w:rsidR="00BC02DF" w:rsidRPr="00C20B08" w:rsidRDefault="00BC02DF" w:rsidP="001A63D9">
            <w:pPr>
              <w:spacing w:after="0" w:line="240" w:lineRule="auto"/>
              <w:jc w:val="center"/>
              <w:rPr>
                <w:rFonts w:ascii="Garamond" w:eastAsia="Times New Roman" w:hAnsi="Garamond" w:cs="Times New Roman"/>
                <w:lang w:eastAsia="fr-FR"/>
              </w:rPr>
            </w:pPr>
            <w:r w:rsidRPr="00C20B08">
              <w:rPr>
                <w:rFonts w:ascii="Garamond" w:eastAsia="Times New Roman" w:hAnsi="Garamond" w:cs="Times New Roman"/>
                <w:lang w:eastAsia="fr-FR"/>
              </w:rPr>
              <w:t>R0190</w:t>
            </w:r>
          </w:p>
        </w:tc>
        <w:tc>
          <w:tcPr>
            <w:tcW w:w="5528" w:type="dxa"/>
            <w:tcBorders>
              <w:top w:val="nil"/>
              <w:left w:val="single" w:sz="4" w:space="0" w:color="auto"/>
              <w:bottom w:val="single" w:sz="4" w:space="0" w:color="auto"/>
              <w:right w:val="single" w:sz="4" w:space="0" w:color="auto"/>
            </w:tcBorders>
          </w:tcPr>
          <w:p w14:paraId="1CC679B1" w14:textId="0BF37D41" w:rsidR="00BC02DF" w:rsidRPr="00C20B08" w:rsidRDefault="00115A35" w:rsidP="001A63D9">
            <w:pPr>
              <w:spacing w:after="0" w:line="240" w:lineRule="auto"/>
              <w:rPr>
                <w:rFonts w:ascii="Garamond" w:eastAsia="Times New Roman" w:hAnsi="Garamond" w:cs="Times New Roman"/>
                <w:lang w:eastAsia="fr-FR"/>
              </w:rPr>
            </w:pPr>
            <w:r w:rsidRPr="001875B3">
              <w:rPr>
                <w:rFonts w:ascii="Garamond" w:eastAsia="Times New Roman" w:hAnsi="Garamond" w:cs="Times New Roman"/>
                <w:lang w:eastAsia="fr-FR"/>
              </w:rPr>
              <w:t xml:space="preserve">Produit dérivés </w:t>
            </w:r>
            <w:r>
              <w:rPr>
                <w:rFonts w:ascii="Garamond" w:eastAsia="Times New Roman" w:hAnsi="Garamond" w:cs="Times New Roman"/>
                <w:lang w:eastAsia="fr-FR"/>
              </w:rPr>
              <w:t>(classification AF.71</w:t>
            </w:r>
            <w:r w:rsidRPr="00F13B2B">
              <w:rPr>
                <w:rFonts w:ascii="Garamond" w:eastAsia="Times New Roman" w:hAnsi="Garamond" w:cs="Times New Roman"/>
                <w:lang w:eastAsia="fr-FR"/>
              </w:rPr>
              <w:t xml:space="preserve"> de l’annexe 7.1 du SEC2010).</w:t>
            </w:r>
            <w:r>
              <w:rPr>
                <w:rFonts w:ascii="Garamond" w:eastAsia="Times New Roman" w:hAnsi="Garamond" w:cs="Times New Roman"/>
                <w:lang w:eastAsia="fr-FR"/>
              </w:rPr>
              <w:t xml:space="preserve"> </w:t>
            </w:r>
            <w:r w:rsidR="00BC02DF" w:rsidRPr="00C20B08">
              <w:rPr>
                <w:rFonts w:ascii="Garamond" w:eastAsia="Times New Roman" w:hAnsi="Garamond" w:cs="Times New Roman"/>
                <w:lang w:eastAsia="fr-FR"/>
              </w:rPr>
              <w:t>Un instrument financier ou un autre contrat présentant l’ensemble des trois caractéristiques suivantes:</w:t>
            </w:r>
          </w:p>
          <w:p w14:paraId="05373B4B" w14:textId="77777777" w:rsidR="00BC02DF" w:rsidRPr="00C20B08" w:rsidRDefault="00BC02DF" w:rsidP="001A63D9">
            <w:pPr>
              <w:spacing w:after="0" w:line="240" w:lineRule="auto"/>
              <w:rPr>
                <w:rFonts w:ascii="Garamond" w:eastAsia="Times New Roman" w:hAnsi="Garamond" w:cs="Times New Roman"/>
                <w:lang w:eastAsia="fr-FR"/>
              </w:rPr>
            </w:pPr>
            <w:r w:rsidRPr="00C20B08">
              <w:rPr>
                <w:rFonts w:ascii="Garamond" w:eastAsia="Times New Roman" w:hAnsi="Garamond" w:cs="Times New Roman"/>
                <w:lang w:eastAsia="fr-FR"/>
              </w:rPr>
              <w:t>a) sa valeur varie en fonction d’une variation d’un taux d’intérêt spécifié, du prix d’un instrument financier, du prix d’une marchandise, d’un cours de change (FX), d’un indice de prix ou de taux, d’une notation de crédit ou d’un indice de crédit ou d’une autre variable, à condition que dans le cas d’une variable non financière, la variable ne soit pas spécifique à une des parties au contrat (parfois appelé le</w:t>
            </w:r>
            <w:proofErr w:type="gramStart"/>
            <w:r w:rsidRPr="00C20B08">
              <w:rPr>
                <w:rFonts w:ascii="Garamond" w:eastAsia="Times New Roman" w:hAnsi="Garamond" w:cs="Times New Roman"/>
                <w:lang w:eastAsia="fr-FR"/>
              </w:rPr>
              <w:t xml:space="preserve"> «sous</w:t>
            </w:r>
            <w:proofErr w:type="gramEnd"/>
            <w:r w:rsidRPr="00C20B08">
              <w:rPr>
                <w:rFonts w:ascii="Garamond" w:eastAsia="Times New Roman" w:hAnsi="Garamond" w:cs="Times New Roman"/>
                <w:lang w:eastAsia="fr-FR"/>
              </w:rPr>
              <w:t>-jacent»);</w:t>
            </w:r>
          </w:p>
          <w:p w14:paraId="32EA645E" w14:textId="77777777" w:rsidR="00BC02DF" w:rsidRPr="00C20B08" w:rsidRDefault="00BC02DF" w:rsidP="001A63D9">
            <w:pPr>
              <w:spacing w:after="0" w:line="240" w:lineRule="auto"/>
              <w:rPr>
                <w:rFonts w:ascii="Garamond" w:eastAsia="Times New Roman" w:hAnsi="Garamond" w:cs="Times New Roman"/>
                <w:lang w:eastAsia="fr-FR"/>
              </w:rPr>
            </w:pPr>
            <w:r w:rsidRPr="00C20B08">
              <w:rPr>
                <w:rFonts w:ascii="Garamond" w:eastAsia="Times New Roman" w:hAnsi="Garamond" w:cs="Times New Roman"/>
                <w:lang w:eastAsia="fr-FR"/>
              </w:rPr>
              <w:t>b) il ne requiert aucun placement net initial ou un placement net initial inférieur à celui qui serait nécessaire pour d’autres types de contrats dont on pourrait attendre des réactions similaires aux évolutions des conditions du marché;</w:t>
            </w:r>
          </w:p>
          <w:p w14:paraId="44C40C9C" w14:textId="4A13FB74" w:rsidR="00BC02DF" w:rsidRPr="00C20B08" w:rsidRDefault="00BC02DF">
            <w:pPr>
              <w:spacing w:after="0" w:line="240" w:lineRule="auto"/>
              <w:rPr>
                <w:rFonts w:ascii="Garamond" w:eastAsia="Times New Roman" w:hAnsi="Garamond" w:cs="Times New Roman"/>
                <w:lang w:eastAsia="fr-FR"/>
              </w:rPr>
            </w:pPr>
            <w:r w:rsidRPr="00C20B08">
              <w:rPr>
                <w:rFonts w:ascii="Garamond" w:eastAsia="Times New Roman" w:hAnsi="Garamond" w:cs="Times New Roman"/>
                <w:lang w:eastAsia="fr-FR"/>
              </w:rPr>
              <w:t>c) il est réglé à une date future.</w:t>
            </w:r>
          </w:p>
        </w:tc>
      </w:tr>
      <w:tr w:rsidR="00BC02DF" w:rsidRPr="00C20B08" w14:paraId="0D7DAEB9" w14:textId="77777777" w:rsidTr="00A05A3A">
        <w:trPr>
          <w:trHeight w:val="300"/>
        </w:trPr>
        <w:tc>
          <w:tcPr>
            <w:tcW w:w="2709" w:type="dxa"/>
            <w:tcBorders>
              <w:top w:val="nil"/>
              <w:left w:val="single" w:sz="4" w:space="0" w:color="auto"/>
              <w:bottom w:val="single" w:sz="4" w:space="0" w:color="auto"/>
              <w:right w:val="single" w:sz="4" w:space="0" w:color="auto"/>
            </w:tcBorders>
            <w:shd w:val="clear" w:color="auto" w:fill="auto"/>
            <w:vAlign w:val="center"/>
            <w:hideMark/>
          </w:tcPr>
          <w:p w14:paraId="08A03AE4" w14:textId="77777777" w:rsidR="00BC02DF" w:rsidRPr="00313B33" w:rsidRDefault="00BC02DF" w:rsidP="00D5220C">
            <w:pPr>
              <w:spacing w:after="0" w:line="240" w:lineRule="auto"/>
              <w:jc w:val="center"/>
              <w:rPr>
                <w:rFonts w:ascii="Garamond" w:eastAsia="Times New Roman" w:hAnsi="Garamond" w:cs="Times New Roman"/>
                <w:lang w:eastAsia="fr-FR"/>
              </w:rPr>
            </w:pPr>
            <w:r w:rsidRPr="00313B33">
              <w:rPr>
                <w:rFonts w:ascii="Garamond" w:eastAsia="Times New Roman" w:hAnsi="Garamond" w:cs="Times New Roman"/>
                <w:lang w:eastAsia="fr-FR"/>
              </w:rPr>
              <w:t>Autres supports d'investissements</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05FFFFD1" w14:textId="77777777" w:rsidR="00BC02DF" w:rsidRPr="00C20B08" w:rsidRDefault="00BC02DF" w:rsidP="001A63D9">
            <w:pPr>
              <w:spacing w:after="0" w:line="240" w:lineRule="auto"/>
              <w:jc w:val="center"/>
              <w:rPr>
                <w:rFonts w:ascii="Garamond" w:eastAsia="Times New Roman" w:hAnsi="Garamond" w:cs="Times New Roman"/>
                <w:lang w:eastAsia="fr-FR"/>
              </w:rPr>
            </w:pPr>
            <w:r w:rsidRPr="00C20B08">
              <w:rPr>
                <w:rFonts w:ascii="Garamond" w:eastAsia="Times New Roman" w:hAnsi="Garamond" w:cs="Times New Roman"/>
                <w:lang w:eastAsia="fr-FR"/>
              </w:rPr>
              <w:t>R0200</w:t>
            </w:r>
          </w:p>
        </w:tc>
        <w:tc>
          <w:tcPr>
            <w:tcW w:w="5528" w:type="dxa"/>
            <w:tcBorders>
              <w:top w:val="nil"/>
              <w:left w:val="single" w:sz="4" w:space="0" w:color="auto"/>
              <w:bottom w:val="single" w:sz="4" w:space="0" w:color="auto"/>
              <w:right w:val="single" w:sz="4" w:space="0" w:color="auto"/>
            </w:tcBorders>
          </w:tcPr>
          <w:p w14:paraId="5CC505D5" w14:textId="4185F3B6" w:rsidR="00BC02DF" w:rsidRPr="00C20B08" w:rsidRDefault="00BC02DF">
            <w:pPr>
              <w:spacing w:after="0" w:line="240" w:lineRule="auto"/>
              <w:rPr>
                <w:rFonts w:ascii="Garamond" w:eastAsia="Times New Roman" w:hAnsi="Garamond" w:cs="Times New Roman"/>
                <w:lang w:eastAsia="fr-FR"/>
              </w:rPr>
            </w:pPr>
            <w:r w:rsidRPr="00C20B08">
              <w:rPr>
                <w:rFonts w:ascii="Garamond" w:eastAsia="Times New Roman" w:hAnsi="Garamond" w:cs="Times New Roman"/>
                <w:lang w:eastAsia="fr-FR"/>
              </w:rPr>
              <w:t xml:space="preserve">Supports d'investissements autres que ceux déjà déclarés </w:t>
            </w:r>
            <w:r w:rsidR="00115A35">
              <w:rPr>
                <w:rFonts w:ascii="Garamond" w:eastAsia="Times New Roman" w:hAnsi="Garamond" w:cs="Times New Roman"/>
                <w:lang w:eastAsia="fr-FR"/>
              </w:rPr>
              <w:t>dans les lignes R0020-R0190.</w:t>
            </w:r>
          </w:p>
        </w:tc>
      </w:tr>
      <w:tr w:rsidR="00BC02DF" w:rsidRPr="00C20B08" w14:paraId="00E7058A" w14:textId="77777777" w:rsidTr="00A05A3A">
        <w:trPr>
          <w:trHeight w:val="300"/>
        </w:trPr>
        <w:tc>
          <w:tcPr>
            <w:tcW w:w="2709" w:type="dxa"/>
            <w:tcBorders>
              <w:top w:val="nil"/>
              <w:left w:val="single" w:sz="4" w:space="0" w:color="auto"/>
              <w:bottom w:val="single" w:sz="4" w:space="0" w:color="auto"/>
              <w:right w:val="single" w:sz="4" w:space="0" w:color="auto"/>
            </w:tcBorders>
            <w:shd w:val="clear" w:color="auto" w:fill="auto"/>
            <w:vAlign w:val="center"/>
            <w:hideMark/>
          </w:tcPr>
          <w:p w14:paraId="29A4A9BA" w14:textId="77777777" w:rsidR="00BC02DF" w:rsidRPr="00313B33" w:rsidRDefault="00BC02DF" w:rsidP="00D5220C">
            <w:pPr>
              <w:spacing w:after="0" w:line="240" w:lineRule="auto"/>
              <w:jc w:val="center"/>
              <w:rPr>
                <w:rFonts w:ascii="Garamond" w:eastAsia="Times New Roman" w:hAnsi="Garamond" w:cs="Times New Roman"/>
                <w:lang w:eastAsia="fr-FR"/>
              </w:rPr>
            </w:pPr>
            <w:r w:rsidRPr="00313B33">
              <w:rPr>
                <w:rFonts w:ascii="Garamond" w:eastAsia="Times New Roman" w:hAnsi="Garamond" w:cs="Times New Roman"/>
                <w:lang w:eastAsia="fr-FR"/>
              </w:rPr>
              <w:t>Prêts et prêts hypothécaires</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2D101917" w14:textId="77777777" w:rsidR="00BC02DF" w:rsidRPr="00C20B08" w:rsidRDefault="00BC02DF" w:rsidP="001A63D9">
            <w:pPr>
              <w:spacing w:after="0" w:line="240" w:lineRule="auto"/>
              <w:jc w:val="center"/>
              <w:rPr>
                <w:rFonts w:ascii="Garamond" w:eastAsia="Times New Roman" w:hAnsi="Garamond" w:cs="Times New Roman"/>
                <w:lang w:eastAsia="fr-FR"/>
              </w:rPr>
            </w:pPr>
            <w:r w:rsidRPr="00C20B08">
              <w:rPr>
                <w:rFonts w:ascii="Garamond" w:eastAsia="Times New Roman" w:hAnsi="Garamond" w:cs="Times New Roman"/>
                <w:lang w:eastAsia="fr-FR"/>
              </w:rPr>
              <w:t>R0210</w:t>
            </w:r>
          </w:p>
        </w:tc>
        <w:tc>
          <w:tcPr>
            <w:tcW w:w="5528" w:type="dxa"/>
            <w:tcBorders>
              <w:top w:val="nil"/>
              <w:left w:val="single" w:sz="4" w:space="0" w:color="auto"/>
              <w:bottom w:val="single" w:sz="4" w:space="0" w:color="auto"/>
              <w:right w:val="single" w:sz="4" w:space="0" w:color="auto"/>
            </w:tcBorders>
          </w:tcPr>
          <w:p w14:paraId="5D9F5CFF" w14:textId="118EEC21" w:rsidR="00BC02DF" w:rsidRDefault="00317B5B" w:rsidP="001A63D9">
            <w:pPr>
              <w:spacing w:after="0" w:line="240" w:lineRule="auto"/>
              <w:rPr>
                <w:rFonts w:ascii="Garamond" w:eastAsia="Times New Roman" w:hAnsi="Garamond" w:cs="Times New Roman"/>
                <w:lang w:eastAsia="fr-FR"/>
              </w:rPr>
            </w:pPr>
            <w:r>
              <w:rPr>
                <w:rFonts w:ascii="Garamond" w:eastAsia="Times New Roman" w:hAnsi="Garamond" w:cs="Times New Roman"/>
                <w:lang w:eastAsia="fr-FR"/>
              </w:rPr>
              <w:t>Valeur total des prêts et prêts hypothécaire</w:t>
            </w:r>
            <w:r w:rsidR="003D367A">
              <w:rPr>
                <w:rFonts w:ascii="Garamond" w:eastAsia="Times New Roman" w:hAnsi="Garamond" w:cs="Times New Roman"/>
                <w:lang w:eastAsia="fr-FR"/>
              </w:rPr>
              <w:t>s</w:t>
            </w:r>
            <w:r>
              <w:rPr>
                <w:rFonts w:ascii="Garamond" w:eastAsia="Times New Roman" w:hAnsi="Garamond" w:cs="Times New Roman"/>
                <w:lang w:eastAsia="fr-FR"/>
              </w:rPr>
              <w:t xml:space="preserve"> émis (classification AF.4</w:t>
            </w:r>
            <w:r w:rsidRPr="00F13B2B">
              <w:rPr>
                <w:rFonts w:ascii="Garamond" w:eastAsia="Times New Roman" w:hAnsi="Garamond" w:cs="Times New Roman"/>
                <w:lang w:eastAsia="fr-FR"/>
              </w:rPr>
              <w:t xml:space="preserve"> de l’annexe 7.1 du SEC2010).</w:t>
            </w:r>
          </w:p>
          <w:p w14:paraId="5EC4C45F" w14:textId="1454EE32" w:rsidR="00317B5B" w:rsidRDefault="00317B5B" w:rsidP="001A63D9">
            <w:pPr>
              <w:spacing w:after="0" w:line="240" w:lineRule="auto"/>
              <w:rPr>
                <w:rFonts w:ascii="Garamond" w:eastAsia="Times New Roman" w:hAnsi="Garamond" w:cs="Times New Roman"/>
                <w:lang w:eastAsia="fr-FR"/>
              </w:rPr>
            </w:pPr>
          </w:p>
          <w:p w14:paraId="1942A399" w14:textId="645B38A9" w:rsidR="00317B5B" w:rsidRPr="001875B3" w:rsidRDefault="00317B5B" w:rsidP="001875B3">
            <w:pPr>
              <w:rPr>
                <w:rFonts w:ascii="Garamond" w:hAnsi="Garamond"/>
              </w:rPr>
            </w:pPr>
            <w:r>
              <w:rPr>
                <w:rFonts w:ascii="Garamond" w:hAnsi="Garamond"/>
              </w:rPr>
              <w:t>C</w:t>
            </w:r>
            <w:r w:rsidRPr="00C20B08">
              <w:rPr>
                <w:rFonts w:ascii="Garamond" w:hAnsi="Garamond"/>
              </w:rPr>
              <w:t xml:space="preserve">ode 48 </w:t>
            </w:r>
            <w:r>
              <w:rPr>
                <w:rFonts w:ascii="Garamond" w:hAnsi="Garamond"/>
              </w:rPr>
              <w:t>17 0 dans l’annexe 1 du règlement</w:t>
            </w:r>
            <w:r w:rsidRPr="0042097E">
              <w:rPr>
                <w:rFonts w:ascii="Garamond" w:hAnsi="Garamond"/>
              </w:rPr>
              <w:t xml:space="preserve"> </w:t>
            </w:r>
            <w:hyperlink r:id="rId15" w:history="1">
              <w:r>
                <w:rPr>
                  <w:rStyle w:val="Lienhypertexte"/>
                  <w:rFonts w:ascii="Garamond" w:hAnsi="Garamond"/>
                </w:rPr>
                <w:t>N°</w:t>
              </w:r>
              <w:r w:rsidRPr="0042097E">
                <w:rPr>
                  <w:rStyle w:val="Lienhypertexte"/>
                  <w:rFonts w:ascii="Garamond" w:hAnsi="Garamond"/>
                </w:rPr>
                <w:t xml:space="preserve"> 250/2009</w:t>
              </w:r>
            </w:hyperlink>
            <w:r>
              <w:rPr>
                <w:rFonts w:ascii="Garamond" w:hAnsi="Garamond"/>
              </w:rPr>
              <w:t xml:space="preserve"> de la commission</w:t>
            </w:r>
            <w:r w:rsidRPr="0042097E">
              <w:rPr>
                <w:rFonts w:ascii="Garamond" w:hAnsi="Garamond"/>
              </w:rPr>
              <w:t>, extrait</w:t>
            </w:r>
            <w:r>
              <w:rPr>
                <w:rFonts w:ascii="Garamond" w:hAnsi="Garamond"/>
              </w:rPr>
              <w:t xml:space="preserve"> </w:t>
            </w:r>
            <w:r w:rsidRPr="0042097E">
              <w:rPr>
                <w:rFonts w:ascii="Garamond" w:hAnsi="Garamond"/>
              </w:rPr>
              <w:t>:</w:t>
            </w:r>
          </w:p>
          <w:p w14:paraId="2B9EA9DB" w14:textId="35359103" w:rsidR="00BC02DF" w:rsidRPr="00C20B08" w:rsidRDefault="00317B5B" w:rsidP="001A63D9">
            <w:pPr>
              <w:spacing w:after="0" w:line="240" w:lineRule="auto"/>
              <w:rPr>
                <w:rFonts w:ascii="Garamond" w:eastAsia="Times New Roman" w:hAnsi="Garamond" w:cs="Times New Roman"/>
                <w:lang w:eastAsia="fr-FR"/>
              </w:rPr>
            </w:pPr>
            <w:r>
              <w:rPr>
                <w:rFonts w:ascii="Garamond" w:eastAsia="Times New Roman" w:hAnsi="Garamond" w:cs="Times New Roman"/>
                <w:lang w:eastAsia="fr-FR"/>
              </w:rPr>
              <w:t>« </w:t>
            </w:r>
            <w:r w:rsidRPr="00317B5B">
              <w:rPr>
                <w:rFonts w:ascii="Garamond" w:eastAsia="Times New Roman" w:hAnsi="Garamond" w:cs="Times New Roman"/>
                <w:lang w:eastAsia="fr-FR"/>
              </w:rPr>
              <w:t>Cette variable couvre tous les types de prêts de fonds de pension garantis ou non par une hypothèque</w:t>
            </w:r>
            <w:r>
              <w:rPr>
                <w:rFonts w:ascii="Garamond" w:eastAsia="Times New Roman" w:hAnsi="Garamond" w:cs="Times New Roman"/>
                <w:lang w:eastAsia="fr-FR"/>
              </w:rPr>
              <w:t>. »</w:t>
            </w:r>
          </w:p>
        </w:tc>
      </w:tr>
      <w:tr w:rsidR="00BC02DF" w:rsidRPr="00C20B08" w14:paraId="54CE6F45" w14:textId="77777777" w:rsidTr="00A05A3A">
        <w:trPr>
          <w:trHeight w:val="300"/>
        </w:trPr>
        <w:tc>
          <w:tcPr>
            <w:tcW w:w="2709" w:type="dxa"/>
            <w:tcBorders>
              <w:top w:val="nil"/>
              <w:left w:val="single" w:sz="4" w:space="0" w:color="auto"/>
              <w:bottom w:val="single" w:sz="4" w:space="0" w:color="auto"/>
              <w:right w:val="single" w:sz="4" w:space="0" w:color="auto"/>
            </w:tcBorders>
            <w:shd w:val="clear" w:color="auto" w:fill="auto"/>
            <w:vAlign w:val="center"/>
            <w:hideMark/>
          </w:tcPr>
          <w:p w14:paraId="39CC1D7B" w14:textId="77777777" w:rsidR="00BC02DF" w:rsidRPr="00313B33" w:rsidRDefault="00BC02DF" w:rsidP="00D5220C">
            <w:pPr>
              <w:spacing w:after="0" w:line="240" w:lineRule="auto"/>
              <w:jc w:val="center"/>
              <w:rPr>
                <w:rFonts w:ascii="Garamond" w:eastAsia="Times New Roman" w:hAnsi="Garamond" w:cs="Times New Roman"/>
                <w:lang w:eastAsia="fr-FR"/>
              </w:rPr>
            </w:pPr>
            <w:r w:rsidRPr="00313B33">
              <w:rPr>
                <w:rFonts w:ascii="Garamond" w:eastAsia="Times New Roman" w:hAnsi="Garamond" w:cs="Times New Roman"/>
                <w:lang w:eastAsia="fr-FR"/>
              </w:rPr>
              <w:t>Prêts hypothécaires</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6693C0D0" w14:textId="77777777" w:rsidR="00BC02DF" w:rsidRPr="00C20B08" w:rsidRDefault="00BC02DF" w:rsidP="001A63D9">
            <w:pPr>
              <w:spacing w:after="0" w:line="240" w:lineRule="auto"/>
              <w:jc w:val="center"/>
              <w:rPr>
                <w:rFonts w:ascii="Garamond" w:eastAsia="Times New Roman" w:hAnsi="Garamond" w:cs="Times New Roman"/>
                <w:lang w:eastAsia="fr-FR"/>
              </w:rPr>
            </w:pPr>
            <w:r w:rsidRPr="00C20B08">
              <w:rPr>
                <w:rFonts w:ascii="Garamond" w:eastAsia="Times New Roman" w:hAnsi="Garamond" w:cs="Times New Roman"/>
                <w:lang w:eastAsia="fr-FR"/>
              </w:rPr>
              <w:t>R0220</w:t>
            </w:r>
          </w:p>
        </w:tc>
        <w:tc>
          <w:tcPr>
            <w:tcW w:w="5528" w:type="dxa"/>
            <w:tcBorders>
              <w:top w:val="nil"/>
              <w:left w:val="single" w:sz="4" w:space="0" w:color="auto"/>
              <w:bottom w:val="single" w:sz="4" w:space="0" w:color="auto"/>
              <w:right w:val="single" w:sz="4" w:space="0" w:color="auto"/>
            </w:tcBorders>
          </w:tcPr>
          <w:p w14:paraId="64EF8BAE" w14:textId="3FD31C95" w:rsidR="00BC02DF" w:rsidRPr="00C20B08" w:rsidRDefault="003D367A" w:rsidP="001A63D9">
            <w:pPr>
              <w:spacing w:after="0" w:line="240" w:lineRule="auto"/>
              <w:rPr>
                <w:rFonts w:ascii="Garamond" w:eastAsia="Times New Roman" w:hAnsi="Garamond" w:cs="Times New Roman"/>
                <w:lang w:eastAsia="fr-FR"/>
              </w:rPr>
            </w:pPr>
            <w:r>
              <w:rPr>
                <w:rFonts w:ascii="Garamond" w:eastAsia="Times New Roman" w:hAnsi="Garamond" w:cs="Times New Roman"/>
                <w:lang w:eastAsia="fr-FR"/>
              </w:rPr>
              <w:t>Prêts hypothécaires émis.</w:t>
            </w:r>
          </w:p>
        </w:tc>
      </w:tr>
      <w:tr w:rsidR="00BC02DF" w:rsidRPr="00C20B08" w14:paraId="30BFEA50" w14:textId="77777777" w:rsidTr="00A05A3A">
        <w:trPr>
          <w:trHeight w:val="300"/>
        </w:trPr>
        <w:tc>
          <w:tcPr>
            <w:tcW w:w="2709" w:type="dxa"/>
            <w:tcBorders>
              <w:top w:val="nil"/>
              <w:left w:val="single" w:sz="4" w:space="0" w:color="auto"/>
              <w:bottom w:val="single" w:sz="4" w:space="0" w:color="auto"/>
              <w:right w:val="single" w:sz="4" w:space="0" w:color="auto"/>
            </w:tcBorders>
            <w:shd w:val="clear" w:color="auto" w:fill="auto"/>
            <w:vAlign w:val="center"/>
            <w:hideMark/>
          </w:tcPr>
          <w:p w14:paraId="0E8F9AD6" w14:textId="77777777" w:rsidR="00BC02DF" w:rsidRPr="00313B33" w:rsidRDefault="00BC02DF" w:rsidP="00D5220C">
            <w:pPr>
              <w:spacing w:after="0" w:line="240" w:lineRule="auto"/>
              <w:jc w:val="center"/>
              <w:rPr>
                <w:rFonts w:ascii="Garamond" w:eastAsia="Times New Roman" w:hAnsi="Garamond" w:cs="Times New Roman"/>
                <w:lang w:eastAsia="fr-FR"/>
              </w:rPr>
            </w:pPr>
            <w:r w:rsidRPr="00313B33">
              <w:rPr>
                <w:rFonts w:ascii="Garamond" w:eastAsia="Times New Roman" w:hAnsi="Garamond" w:cs="Times New Roman"/>
                <w:lang w:eastAsia="fr-FR"/>
              </w:rPr>
              <w:t>Autres prêts</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3633C561" w14:textId="77777777" w:rsidR="00BC02DF" w:rsidRPr="00C20B08" w:rsidRDefault="00BC02DF" w:rsidP="001A63D9">
            <w:pPr>
              <w:spacing w:after="0" w:line="240" w:lineRule="auto"/>
              <w:jc w:val="center"/>
              <w:rPr>
                <w:rFonts w:ascii="Garamond" w:eastAsia="Times New Roman" w:hAnsi="Garamond" w:cs="Times New Roman"/>
                <w:lang w:eastAsia="fr-FR"/>
              </w:rPr>
            </w:pPr>
            <w:r w:rsidRPr="00C20B08">
              <w:rPr>
                <w:rFonts w:ascii="Garamond" w:eastAsia="Times New Roman" w:hAnsi="Garamond" w:cs="Times New Roman"/>
                <w:lang w:eastAsia="fr-FR"/>
              </w:rPr>
              <w:t>R0230</w:t>
            </w:r>
          </w:p>
        </w:tc>
        <w:tc>
          <w:tcPr>
            <w:tcW w:w="5528" w:type="dxa"/>
            <w:tcBorders>
              <w:top w:val="nil"/>
              <w:left w:val="single" w:sz="4" w:space="0" w:color="auto"/>
              <w:bottom w:val="single" w:sz="4" w:space="0" w:color="auto"/>
              <w:right w:val="single" w:sz="4" w:space="0" w:color="auto"/>
            </w:tcBorders>
          </w:tcPr>
          <w:p w14:paraId="15E5ECF3" w14:textId="75292886" w:rsidR="00BC02DF" w:rsidRPr="00C20B08" w:rsidRDefault="003D367A">
            <w:pPr>
              <w:spacing w:after="0" w:line="240" w:lineRule="auto"/>
              <w:rPr>
                <w:rFonts w:ascii="Garamond" w:eastAsia="Times New Roman" w:hAnsi="Garamond" w:cs="Times New Roman"/>
                <w:lang w:eastAsia="fr-FR"/>
              </w:rPr>
            </w:pPr>
            <w:r>
              <w:rPr>
                <w:rFonts w:ascii="Garamond" w:eastAsia="Times New Roman" w:hAnsi="Garamond" w:cs="Times New Roman"/>
                <w:lang w:eastAsia="fr-FR"/>
              </w:rPr>
              <w:t>Cette ligne doit inclure tous type de prêts du fonds de pensions non couvert par une hypothèque.</w:t>
            </w:r>
          </w:p>
        </w:tc>
      </w:tr>
      <w:tr w:rsidR="00BC02DF" w:rsidRPr="00C20B08" w14:paraId="23E7E13F" w14:textId="77777777" w:rsidTr="00A05A3A">
        <w:trPr>
          <w:trHeight w:val="300"/>
        </w:trPr>
        <w:tc>
          <w:tcPr>
            <w:tcW w:w="2709" w:type="dxa"/>
            <w:tcBorders>
              <w:top w:val="nil"/>
              <w:left w:val="single" w:sz="4" w:space="0" w:color="auto"/>
              <w:bottom w:val="single" w:sz="4" w:space="0" w:color="auto"/>
              <w:right w:val="single" w:sz="4" w:space="0" w:color="auto"/>
            </w:tcBorders>
            <w:shd w:val="clear" w:color="auto" w:fill="auto"/>
            <w:vAlign w:val="center"/>
            <w:hideMark/>
          </w:tcPr>
          <w:p w14:paraId="4D8CD634" w14:textId="77777777" w:rsidR="00BC02DF" w:rsidRPr="00313B33" w:rsidRDefault="00BC02DF" w:rsidP="00D5220C">
            <w:pPr>
              <w:spacing w:after="0" w:line="240" w:lineRule="auto"/>
              <w:jc w:val="center"/>
              <w:rPr>
                <w:rFonts w:ascii="Garamond" w:eastAsia="Times New Roman" w:hAnsi="Garamond" w:cs="Times New Roman"/>
                <w:lang w:eastAsia="fr-FR"/>
              </w:rPr>
            </w:pPr>
            <w:r w:rsidRPr="00313B33">
              <w:rPr>
                <w:rFonts w:ascii="Garamond" w:eastAsia="Times New Roman" w:hAnsi="Garamond" w:cs="Times New Roman"/>
                <w:lang w:eastAsia="fr-FR"/>
              </w:rPr>
              <w:t>Montants recouvrables au titre des contrats de réassurance</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2F026C3F" w14:textId="77777777" w:rsidR="00BC02DF" w:rsidRPr="00C20B08" w:rsidRDefault="00BC02DF" w:rsidP="001A63D9">
            <w:pPr>
              <w:spacing w:after="0" w:line="240" w:lineRule="auto"/>
              <w:jc w:val="center"/>
              <w:rPr>
                <w:rFonts w:ascii="Garamond" w:eastAsia="Times New Roman" w:hAnsi="Garamond" w:cs="Times New Roman"/>
                <w:lang w:eastAsia="fr-FR"/>
              </w:rPr>
            </w:pPr>
            <w:r w:rsidRPr="00C20B08">
              <w:rPr>
                <w:rFonts w:ascii="Garamond" w:eastAsia="Times New Roman" w:hAnsi="Garamond" w:cs="Times New Roman"/>
                <w:lang w:eastAsia="fr-FR"/>
              </w:rPr>
              <w:t>R0240</w:t>
            </w:r>
          </w:p>
        </w:tc>
        <w:tc>
          <w:tcPr>
            <w:tcW w:w="5528" w:type="dxa"/>
            <w:tcBorders>
              <w:top w:val="nil"/>
              <w:left w:val="single" w:sz="4" w:space="0" w:color="auto"/>
              <w:bottom w:val="single" w:sz="4" w:space="0" w:color="auto"/>
              <w:right w:val="single" w:sz="4" w:space="0" w:color="auto"/>
            </w:tcBorders>
          </w:tcPr>
          <w:p w14:paraId="7DAAFE3A" w14:textId="3F935706" w:rsidR="00BC02DF" w:rsidRPr="00C20B08" w:rsidRDefault="00BC02DF" w:rsidP="001A63D9">
            <w:pPr>
              <w:spacing w:after="0" w:line="240" w:lineRule="auto"/>
              <w:rPr>
                <w:rFonts w:ascii="Garamond" w:eastAsia="Times New Roman" w:hAnsi="Garamond" w:cs="Times New Roman"/>
                <w:lang w:eastAsia="fr-FR"/>
              </w:rPr>
            </w:pPr>
            <w:r w:rsidRPr="00C20B08">
              <w:rPr>
                <w:rFonts w:ascii="Garamond" w:eastAsia="Times New Roman" w:hAnsi="Garamond" w:cs="Times New Roman"/>
                <w:lang w:eastAsia="fr-FR"/>
              </w:rPr>
              <w:t xml:space="preserve">Total des montants recouvrables au titre des contrats de réassurance. Correspond à la part des réassureurs dans les provisions techniques (y compris réassurance </w:t>
            </w:r>
            <w:proofErr w:type="spellStart"/>
            <w:r w:rsidRPr="00C20B08">
              <w:rPr>
                <w:rFonts w:ascii="Garamond" w:eastAsia="Times New Roman" w:hAnsi="Garamond" w:cs="Times New Roman"/>
                <w:lang w:eastAsia="fr-FR"/>
              </w:rPr>
              <w:t>finite</w:t>
            </w:r>
            <w:proofErr w:type="spellEnd"/>
            <w:r w:rsidRPr="00C20B08">
              <w:rPr>
                <w:rFonts w:ascii="Garamond" w:eastAsia="Times New Roman" w:hAnsi="Garamond" w:cs="Times New Roman"/>
                <w:lang w:eastAsia="fr-FR"/>
              </w:rPr>
              <w:t xml:space="preserve"> et véhicules de titrisation). </w:t>
            </w:r>
          </w:p>
        </w:tc>
      </w:tr>
      <w:tr w:rsidR="00BC02DF" w:rsidRPr="00C20B08" w14:paraId="07334362" w14:textId="77777777" w:rsidTr="00A05A3A">
        <w:trPr>
          <w:trHeight w:val="300"/>
        </w:trPr>
        <w:tc>
          <w:tcPr>
            <w:tcW w:w="2709" w:type="dxa"/>
            <w:tcBorders>
              <w:top w:val="nil"/>
              <w:left w:val="single" w:sz="4" w:space="0" w:color="auto"/>
              <w:bottom w:val="single" w:sz="4" w:space="0" w:color="auto"/>
              <w:right w:val="single" w:sz="4" w:space="0" w:color="auto"/>
            </w:tcBorders>
            <w:shd w:val="clear" w:color="auto" w:fill="auto"/>
            <w:vAlign w:val="center"/>
            <w:hideMark/>
          </w:tcPr>
          <w:p w14:paraId="11B8F034" w14:textId="77777777" w:rsidR="00BC02DF" w:rsidRPr="00C20B08" w:rsidRDefault="00BC02DF" w:rsidP="00D5220C">
            <w:pPr>
              <w:spacing w:after="0" w:line="240" w:lineRule="auto"/>
              <w:jc w:val="center"/>
              <w:rPr>
                <w:rFonts w:ascii="Garamond" w:eastAsia="Times New Roman" w:hAnsi="Garamond" w:cs="Times New Roman"/>
                <w:lang w:eastAsia="fr-FR"/>
              </w:rPr>
            </w:pPr>
            <w:r w:rsidRPr="00C20B08">
              <w:rPr>
                <w:rFonts w:ascii="Garamond" w:eastAsia="Times New Roman" w:hAnsi="Garamond" w:cs="Times New Roman"/>
                <w:lang w:eastAsia="fr-FR"/>
              </w:rPr>
              <w:t>Trésorerie et dépôts</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7EE3A4D9" w14:textId="77777777" w:rsidR="00BC02DF" w:rsidRPr="00C20B08" w:rsidRDefault="00BC02DF" w:rsidP="001A63D9">
            <w:pPr>
              <w:spacing w:after="0" w:line="240" w:lineRule="auto"/>
              <w:jc w:val="center"/>
              <w:rPr>
                <w:rFonts w:ascii="Garamond" w:eastAsia="Times New Roman" w:hAnsi="Garamond" w:cs="Times New Roman"/>
                <w:lang w:eastAsia="fr-FR"/>
              </w:rPr>
            </w:pPr>
            <w:r w:rsidRPr="00C20B08">
              <w:rPr>
                <w:rFonts w:ascii="Garamond" w:eastAsia="Times New Roman" w:hAnsi="Garamond" w:cs="Times New Roman"/>
                <w:lang w:eastAsia="fr-FR"/>
              </w:rPr>
              <w:t>R0250</w:t>
            </w:r>
          </w:p>
        </w:tc>
        <w:tc>
          <w:tcPr>
            <w:tcW w:w="5528" w:type="dxa"/>
            <w:tcBorders>
              <w:top w:val="nil"/>
              <w:left w:val="single" w:sz="4" w:space="0" w:color="auto"/>
              <w:bottom w:val="single" w:sz="4" w:space="0" w:color="auto"/>
              <w:right w:val="single" w:sz="4" w:space="0" w:color="auto"/>
            </w:tcBorders>
          </w:tcPr>
          <w:p w14:paraId="72ECF300" w14:textId="6FF8AE9E" w:rsidR="00BC02DF" w:rsidRPr="00C20B08" w:rsidRDefault="003D367A">
            <w:pPr>
              <w:spacing w:after="0" w:line="240" w:lineRule="auto"/>
              <w:rPr>
                <w:rFonts w:ascii="Garamond" w:eastAsia="Times New Roman" w:hAnsi="Garamond" w:cs="Times New Roman"/>
                <w:lang w:eastAsia="fr-FR"/>
              </w:rPr>
            </w:pPr>
            <w:r w:rsidRPr="003D367A">
              <w:rPr>
                <w:rFonts w:ascii="Garamond" w:eastAsia="Times New Roman" w:hAnsi="Garamond" w:cs="Times New Roman"/>
                <w:lang w:eastAsia="fr-FR"/>
              </w:rPr>
              <w:t>Monnaie en circulation et dépôts libellés en monnaie nationale ou en devises</w:t>
            </w:r>
            <w:r>
              <w:rPr>
                <w:rFonts w:ascii="Garamond" w:eastAsia="Times New Roman" w:hAnsi="Garamond" w:cs="Times New Roman"/>
                <w:lang w:eastAsia="fr-FR"/>
              </w:rPr>
              <w:t>(classification AF.2 de l’annexe 7.1 du SEC2010)</w:t>
            </w:r>
            <w:r w:rsidRPr="003D367A">
              <w:rPr>
                <w:rFonts w:ascii="Garamond" w:eastAsia="Times New Roman" w:hAnsi="Garamond" w:cs="Times New Roman"/>
                <w:lang w:eastAsia="fr-FR"/>
              </w:rPr>
              <w:t>.</w:t>
            </w:r>
          </w:p>
        </w:tc>
      </w:tr>
      <w:tr w:rsidR="00BC02DF" w:rsidRPr="00C20B08" w14:paraId="3FB7D9B4" w14:textId="77777777" w:rsidTr="00A05A3A">
        <w:trPr>
          <w:trHeight w:val="300"/>
        </w:trPr>
        <w:tc>
          <w:tcPr>
            <w:tcW w:w="2709" w:type="dxa"/>
            <w:tcBorders>
              <w:top w:val="nil"/>
              <w:left w:val="single" w:sz="4" w:space="0" w:color="auto"/>
              <w:bottom w:val="single" w:sz="4" w:space="0" w:color="auto"/>
              <w:right w:val="single" w:sz="4" w:space="0" w:color="auto"/>
            </w:tcBorders>
            <w:shd w:val="clear" w:color="auto" w:fill="auto"/>
            <w:vAlign w:val="center"/>
            <w:hideMark/>
          </w:tcPr>
          <w:p w14:paraId="54ACCE28" w14:textId="77777777" w:rsidR="00BC02DF" w:rsidRPr="00C20B08" w:rsidRDefault="00BC02DF" w:rsidP="00D5220C">
            <w:pPr>
              <w:spacing w:after="0" w:line="240" w:lineRule="auto"/>
              <w:jc w:val="center"/>
              <w:rPr>
                <w:rFonts w:ascii="Garamond" w:eastAsia="Times New Roman" w:hAnsi="Garamond" w:cs="Times New Roman"/>
                <w:lang w:eastAsia="fr-FR"/>
              </w:rPr>
            </w:pPr>
            <w:r w:rsidRPr="00C20B08">
              <w:rPr>
                <w:rFonts w:ascii="Garamond" w:eastAsia="Times New Roman" w:hAnsi="Garamond" w:cs="Times New Roman"/>
                <w:lang w:eastAsia="fr-FR"/>
              </w:rPr>
              <w:t>Autres actifs non mentionnés dans les postes ci-dessus</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046DC048" w14:textId="77777777" w:rsidR="00BC02DF" w:rsidRPr="00C20B08" w:rsidRDefault="00BC02DF" w:rsidP="001A63D9">
            <w:pPr>
              <w:spacing w:after="0" w:line="240" w:lineRule="auto"/>
              <w:jc w:val="center"/>
              <w:rPr>
                <w:rFonts w:ascii="Garamond" w:eastAsia="Times New Roman" w:hAnsi="Garamond" w:cs="Times New Roman"/>
                <w:lang w:eastAsia="fr-FR"/>
              </w:rPr>
            </w:pPr>
            <w:r w:rsidRPr="00C20B08">
              <w:rPr>
                <w:rFonts w:ascii="Garamond" w:eastAsia="Times New Roman" w:hAnsi="Garamond" w:cs="Times New Roman"/>
                <w:lang w:eastAsia="fr-FR"/>
              </w:rPr>
              <w:t>R0260</w:t>
            </w:r>
          </w:p>
        </w:tc>
        <w:tc>
          <w:tcPr>
            <w:tcW w:w="5528" w:type="dxa"/>
            <w:tcBorders>
              <w:top w:val="nil"/>
              <w:left w:val="single" w:sz="4" w:space="0" w:color="auto"/>
              <w:bottom w:val="single" w:sz="4" w:space="0" w:color="auto"/>
              <w:right w:val="single" w:sz="4" w:space="0" w:color="auto"/>
            </w:tcBorders>
          </w:tcPr>
          <w:p w14:paraId="7290FFF2" w14:textId="32B7B842" w:rsidR="00BC02DF" w:rsidRPr="00C20B08" w:rsidRDefault="00BC02DF" w:rsidP="001A63D9">
            <w:pPr>
              <w:spacing w:after="0" w:line="240" w:lineRule="auto"/>
              <w:rPr>
                <w:rFonts w:ascii="Garamond" w:eastAsia="Times New Roman" w:hAnsi="Garamond" w:cs="Times New Roman"/>
                <w:lang w:eastAsia="fr-FR"/>
              </w:rPr>
            </w:pPr>
            <w:r w:rsidRPr="00C20B08">
              <w:rPr>
                <w:rFonts w:ascii="Garamond" w:eastAsia="Times New Roman" w:hAnsi="Garamond" w:cs="Times New Roman"/>
                <w:lang w:eastAsia="fr-FR"/>
              </w:rPr>
              <w:t>Montant de tous les autres éléments d’actif non inclus déjà</w:t>
            </w:r>
            <w:r w:rsidR="003D367A">
              <w:rPr>
                <w:rFonts w:ascii="Garamond" w:eastAsia="Times New Roman" w:hAnsi="Garamond" w:cs="Times New Roman"/>
                <w:lang w:eastAsia="fr-FR"/>
              </w:rPr>
              <w:t xml:space="preserve"> d</w:t>
            </w:r>
            <w:r w:rsidRPr="00C20B08">
              <w:rPr>
                <w:rFonts w:ascii="Garamond" w:eastAsia="Times New Roman" w:hAnsi="Garamond" w:cs="Times New Roman"/>
                <w:lang w:eastAsia="fr-FR"/>
              </w:rPr>
              <w:t>ans</w:t>
            </w:r>
            <w:r w:rsidR="003D367A">
              <w:rPr>
                <w:rFonts w:ascii="Garamond" w:eastAsia="Times New Roman" w:hAnsi="Garamond" w:cs="Times New Roman"/>
                <w:lang w:eastAsia="fr-FR"/>
              </w:rPr>
              <w:t xml:space="preserve"> les lignes R0010-R0250.</w:t>
            </w:r>
          </w:p>
        </w:tc>
      </w:tr>
      <w:tr w:rsidR="00313B33" w:rsidRPr="00F36D9C" w14:paraId="1E338039" w14:textId="77777777" w:rsidTr="00A05A3A">
        <w:trPr>
          <w:trHeight w:val="300"/>
        </w:trPr>
        <w:tc>
          <w:tcPr>
            <w:tcW w:w="2709" w:type="dxa"/>
            <w:tcBorders>
              <w:top w:val="nil"/>
              <w:left w:val="single" w:sz="4" w:space="0" w:color="auto"/>
              <w:bottom w:val="single" w:sz="4" w:space="0" w:color="auto"/>
              <w:right w:val="single" w:sz="4" w:space="0" w:color="auto"/>
            </w:tcBorders>
            <w:shd w:val="clear" w:color="auto" w:fill="auto"/>
            <w:vAlign w:val="center"/>
          </w:tcPr>
          <w:p w14:paraId="43BE7924" w14:textId="0594673C" w:rsidR="00313B33" w:rsidRPr="00C20B08" w:rsidRDefault="00EF4367" w:rsidP="001875B3">
            <w:pPr>
              <w:spacing w:after="0" w:line="240" w:lineRule="auto"/>
              <w:rPr>
                <w:rFonts w:ascii="Garamond" w:eastAsia="Times New Roman" w:hAnsi="Garamond" w:cs="Times New Roman"/>
                <w:b/>
                <w:bCs/>
                <w:lang w:eastAsia="fr-FR"/>
              </w:rPr>
            </w:pPr>
            <w:r w:rsidRPr="00DE7F8E">
              <w:rPr>
                <w:rFonts w:ascii="Garamond" w:eastAsia="Times New Roman" w:hAnsi="Garamond" w:cs="Times New Roman"/>
                <w:bCs/>
                <w:lang w:eastAsia="fr-FR"/>
              </w:rPr>
              <w:t>Dont droits des fonds de pension sur les gérants des systèmes de pension</w:t>
            </w:r>
          </w:p>
        </w:tc>
        <w:tc>
          <w:tcPr>
            <w:tcW w:w="850" w:type="dxa"/>
            <w:tcBorders>
              <w:top w:val="nil"/>
              <w:left w:val="single" w:sz="4" w:space="0" w:color="auto"/>
              <w:bottom w:val="single" w:sz="4" w:space="0" w:color="auto"/>
              <w:right w:val="single" w:sz="4" w:space="0" w:color="auto"/>
            </w:tcBorders>
            <w:shd w:val="clear" w:color="auto" w:fill="auto"/>
            <w:vAlign w:val="center"/>
          </w:tcPr>
          <w:p w14:paraId="7D3A2B86" w14:textId="77777777" w:rsidR="00313B33" w:rsidRPr="003755F1" w:rsidRDefault="003755F1" w:rsidP="001A63D9">
            <w:pPr>
              <w:spacing w:after="0" w:line="240" w:lineRule="auto"/>
              <w:jc w:val="center"/>
              <w:rPr>
                <w:rFonts w:ascii="Garamond" w:eastAsia="Times New Roman" w:hAnsi="Garamond" w:cs="Times New Roman"/>
                <w:bCs/>
                <w:lang w:eastAsia="fr-FR"/>
              </w:rPr>
            </w:pPr>
            <w:r w:rsidRPr="003755F1">
              <w:rPr>
                <w:rFonts w:ascii="Garamond" w:eastAsia="Times New Roman" w:hAnsi="Garamond" w:cs="Times New Roman"/>
                <w:bCs/>
                <w:lang w:eastAsia="fr-FR"/>
              </w:rPr>
              <w:t>ER0261</w:t>
            </w:r>
          </w:p>
        </w:tc>
        <w:tc>
          <w:tcPr>
            <w:tcW w:w="5528" w:type="dxa"/>
            <w:tcBorders>
              <w:top w:val="nil"/>
              <w:left w:val="single" w:sz="4" w:space="0" w:color="auto"/>
              <w:bottom w:val="single" w:sz="4" w:space="0" w:color="auto"/>
              <w:right w:val="single" w:sz="4" w:space="0" w:color="auto"/>
            </w:tcBorders>
          </w:tcPr>
          <w:p w14:paraId="35627BC8" w14:textId="77777777" w:rsidR="003755F1" w:rsidRPr="00F36D9C" w:rsidRDefault="00BF7CA6" w:rsidP="00F3582C">
            <w:pPr>
              <w:spacing w:after="0" w:line="240" w:lineRule="auto"/>
              <w:rPr>
                <w:rFonts w:ascii="Garamond" w:eastAsia="Times New Roman" w:hAnsi="Garamond" w:cs="Times New Roman"/>
                <w:lang w:eastAsia="fr-FR"/>
              </w:rPr>
            </w:pPr>
            <w:r>
              <w:rPr>
                <w:rFonts w:ascii="Garamond" w:eastAsia="Times New Roman" w:hAnsi="Garamond" w:cs="Times New Roman"/>
                <w:lang w:eastAsia="fr-FR"/>
              </w:rPr>
              <w:t>Droits des fonds de pension sur les gérants des sys</w:t>
            </w:r>
            <w:r w:rsidR="000948C8">
              <w:rPr>
                <w:rFonts w:ascii="Garamond" w:eastAsia="Times New Roman" w:hAnsi="Garamond" w:cs="Times New Roman"/>
                <w:lang w:eastAsia="fr-FR"/>
              </w:rPr>
              <w:t xml:space="preserve">tèmes de pension, si applicable </w:t>
            </w:r>
            <w:r w:rsidR="00F3582C">
              <w:rPr>
                <w:rFonts w:ascii="Garamond" w:eastAsia="Times New Roman" w:hAnsi="Garamond" w:cs="Times New Roman"/>
                <w:lang w:eastAsia="fr-FR"/>
              </w:rPr>
              <w:t>tels que définis dans le SEC</w:t>
            </w:r>
            <w:r w:rsidR="00F36D9C">
              <w:rPr>
                <w:rFonts w:ascii="Garamond" w:eastAsia="Times New Roman" w:hAnsi="Garamond" w:cs="Times New Roman"/>
                <w:lang w:eastAsia="fr-FR"/>
              </w:rPr>
              <w:t xml:space="preserve">2010, § </w:t>
            </w:r>
            <w:r w:rsidR="008021AB" w:rsidRPr="00F36D9C">
              <w:rPr>
                <w:rFonts w:ascii="Garamond" w:eastAsia="Times New Roman" w:hAnsi="Garamond" w:cs="Times New Roman"/>
                <w:lang w:eastAsia="fr-FR"/>
              </w:rPr>
              <w:t xml:space="preserve">5.186 </w:t>
            </w:r>
            <w:r w:rsidR="00F36D9C">
              <w:rPr>
                <w:rFonts w:ascii="Garamond" w:eastAsia="Times New Roman" w:hAnsi="Garamond" w:cs="Times New Roman"/>
                <w:lang w:eastAsia="fr-FR"/>
              </w:rPr>
              <w:t xml:space="preserve">et </w:t>
            </w:r>
            <w:r w:rsidR="008021AB" w:rsidRPr="00F36D9C">
              <w:rPr>
                <w:rFonts w:ascii="Garamond" w:eastAsia="Times New Roman" w:hAnsi="Garamond" w:cs="Times New Roman"/>
                <w:lang w:eastAsia="fr-FR"/>
              </w:rPr>
              <w:t>17.78</w:t>
            </w:r>
          </w:p>
        </w:tc>
      </w:tr>
      <w:tr w:rsidR="00BC02DF" w:rsidRPr="00C20B08" w14:paraId="53958221" w14:textId="77777777" w:rsidTr="00A05A3A">
        <w:trPr>
          <w:trHeight w:val="300"/>
        </w:trPr>
        <w:tc>
          <w:tcPr>
            <w:tcW w:w="2709" w:type="dxa"/>
            <w:tcBorders>
              <w:top w:val="nil"/>
              <w:left w:val="single" w:sz="4" w:space="0" w:color="auto"/>
              <w:bottom w:val="single" w:sz="4" w:space="0" w:color="auto"/>
              <w:right w:val="single" w:sz="4" w:space="0" w:color="auto"/>
            </w:tcBorders>
            <w:shd w:val="clear" w:color="auto" w:fill="auto"/>
            <w:vAlign w:val="center"/>
            <w:hideMark/>
          </w:tcPr>
          <w:p w14:paraId="38CAD902" w14:textId="77777777" w:rsidR="00BC02DF" w:rsidRPr="00C20B08" w:rsidRDefault="00BC02DF" w:rsidP="00D5220C">
            <w:pPr>
              <w:spacing w:after="0" w:line="240" w:lineRule="auto"/>
              <w:jc w:val="center"/>
              <w:rPr>
                <w:rFonts w:ascii="Garamond" w:eastAsia="Times New Roman" w:hAnsi="Garamond" w:cs="Times New Roman"/>
                <w:b/>
                <w:bCs/>
                <w:lang w:eastAsia="fr-FR"/>
              </w:rPr>
            </w:pPr>
            <w:r w:rsidRPr="00C20B08">
              <w:rPr>
                <w:rFonts w:ascii="Garamond" w:eastAsia="Times New Roman" w:hAnsi="Garamond" w:cs="Times New Roman"/>
                <w:b/>
                <w:bCs/>
                <w:lang w:eastAsia="fr-FR"/>
              </w:rPr>
              <w:t>Total de l'actif</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58F3F472" w14:textId="77777777" w:rsidR="00BC02DF" w:rsidRPr="00C20B08" w:rsidRDefault="00BC02DF" w:rsidP="001A63D9">
            <w:pPr>
              <w:spacing w:after="0" w:line="240" w:lineRule="auto"/>
              <w:jc w:val="center"/>
              <w:rPr>
                <w:rFonts w:ascii="Garamond" w:eastAsia="Times New Roman" w:hAnsi="Garamond" w:cs="Times New Roman"/>
                <w:b/>
                <w:bCs/>
                <w:lang w:eastAsia="fr-FR"/>
              </w:rPr>
            </w:pPr>
            <w:r w:rsidRPr="00C20B08">
              <w:rPr>
                <w:rFonts w:ascii="Garamond" w:eastAsia="Times New Roman" w:hAnsi="Garamond" w:cs="Times New Roman"/>
                <w:b/>
                <w:bCs/>
                <w:lang w:eastAsia="fr-FR"/>
              </w:rPr>
              <w:t>R0270</w:t>
            </w:r>
          </w:p>
        </w:tc>
        <w:tc>
          <w:tcPr>
            <w:tcW w:w="5528" w:type="dxa"/>
            <w:tcBorders>
              <w:top w:val="nil"/>
              <w:left w:val="single" w:sz="4" w:space="0" w:color="auto"/>
              <w:bottom w:val="single" w:sz="4" w:space="0" w:color="auto"/>
              <w:right w:val="single" w:sz="4" w:space="0" w:color="auto"/>
            </w:tcBorders>
          </w:tcPr>
          <w:p w14:paraId="46AC1B06" w14:textId="4301996A" w:rsidR="00BC02DF" w:rsidRPr="00C20B08" w:rsidRDefault="00BC02DF" w:rsidP="001A63D9">
            <w:pPr>
              <w:spacing w:after="0" w:line="240" w:lineRule="auto"/>
              <w:rPr>
                <w:rFonts w:ascii="Garamond" w:eastAsia="Times New Roman" w:hAnsi="Garamond" w:cs="Times New Roman"/>
                <w:bCs/>
                <w:lang w:eastAsia="fr-FR"/>
              </w:rPr>
            </w:pPr>
            <w:r w:rsidRPr="00C20B08">
              <w:rPr>
                <w:rFonts w:ascii="Garamond" w:eastAsia="Times New Roman" w:hAnsi="Garamond" w:cs="Times New Roman"/>
                <w:lang w:eastAsia="fr-FR"/>
              </w:rPr>
              <w:t>Montant total global des tous les éléments d’actif.</w:t>
            </w:r>
          </w:p>
        </w:tc>
      </w:tr>
      <w:tr w:rsidR="00BC02DF" w:rsidRPr="00C20B08" w14:paraId="01A55D47" w14:textId="77777777" w:rsidTr="00A05A3A">
        <w:trPr>
          <w:trHeight w:val="300"/>
        </w:trPr>
        <w:tc>
          <w:tcPr>
            <w:tcW w:w="2709" w:type="dxa"/>
            <w:tcBorders>
              <w:top w:val="nil"/>
              <w:left w:val="single" w:sz="4" w:space="0" w:color="auto"/>
              <w:bottom w:val="single" w:sz="4" w:space="0" w:color="auto"/>
              <w:right w:val="single" w:sz="4" w:space="0" w:color="auto"/>
            </w:tcBorders>
            <w:shd w:val="clear" w:color="auto" w:fill="auto"/>
            <w:vAlign w:val="center"/>
            <w:hideMark/>
          </w:tcPr>
          <w:p w14:paraId="698A14B9" w14:textId="77777777" w:rsidR="00BC02DF" w:rsidRPr="00C20B08" w:rsidRDefault="00BC02DF" w:rsidP="00D5220C">
            <w:pPr>
              <w:spacing w:after="0" w:line="240" w:lineRule="auto"/>
              <w:jc w:val="center"/>
              <w:rPr>
                <w:rFonts w:ascii="Garamond" w:eastAsia="Times New Roman" w:hAnsi="Garamond" w:cs="Times New Roman"/>
                <w:lang w:eastAsia="fr-FR"/>
              </w:rPr>
            </w:pPr>
            <w:r w:rsidRPr="00C20B08">
              <w:rPr>
                <w:rFonts w:ascii="Garamond" w:eastAsia="Times New Roman" w:hAnsi="Garamond" w:cs="Times New Roman"/>
                <w:lang w:eastAsia="fr-FR"/>
              </w:rPr>
              <w:t>Provisions techniques</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7149F550" w14:textId="77777777" w:rsidR="00BC02DF" w:rsidRPr="00C20B08" w:rsidRDefault="00BC02DF" w:rsidP="001A63D9">
            <w:pPr>
              <w:spacing w:after="0" w:line="240" w:lineRule="auto"/>
              <w:jc w:val="center"/>
              <w:rPr>
                <w:rFonts w:ascii="Garamond" w:eastAsia="Times New Roman" w:hAnsi="Garamond" w:cs="Times New Roman"/>
                <w:lang w:eastAsia="fr-FR"/>
              </w:rPr>
            </w:pPr>
            <w:r w:rsidRPr="00C20B08">
              <w:rPr>
                <w:rFonts w:ascii="Garamond" w:eastAsia="Times New Roman" w:hAnsi="Garamond" w:cs="Times New Roman"/>
                <w:lang w:eastAsia="fr-FR"/>
              </w:rPr>
              <w:t>R0280</w:t>
            </w:r>
          </w:p>
        </w:tc>
        <w:tc>
          <w:tcPr>
            <w:tcW w:w="5528" w:type="dxa"/>
            <w:tcBorders>
              <w:top w:val="nil"/>
              <w:left w:val="single" w:sz="4" w:space="0" w:color="auto"/>
              <w:bottom w:val="single" w:sz="4" w:space="0" w:color="auto"/>
              <w:right w:val="single" w:sz="4" w:space="0" w:color="auto"/>
            </w:tcBorders>
          </w:tcPr>
          <w:p w14:paraId="3D5504C9" w14:textId="77777777" w:rsidR="00BC02DF" w:rsidRPr="00C20B08" w:rsidRDefault="00BC02DF" w:rsidP="001A63D9">
            <w:pPr>
              <w:spacing w:after="0" w:line="240" w:lineRule="auto"/>
              <w:rPr>
                <w:rFonts w:ascii="Garamond" w:eastAsia="Times New Roman" w:hAnsi="Garamond" w:cs="Times New Roman"/>
                <w:lang w:eastAsia="fr-FR"/>
              </w:rPr>
            </w:pPr>
            <w:r w:rsidRPr="00C20B08">
              <w:rPr>
                <w:rFonts w:ascii="Garamond" w:eastAsia="Times New Roman" w:hAnsi="Garamond" w:cs="Times New Roman"/>
                <w:lang w:eastAsia="fr-FR"/>
              </w:rPr>
              <w:t>Provisions techniques (somme) comptabilisées par les entreprises dans leurs comptes légaux conformément au référentiel comptable national ou aux IFRS.</w:t>
            </w:r>
          </w:p>
        </w:tc>
      </w:tr>
      <w:tr w:rsidR="00BC02DF" w:rsidRPr="00C20B08" w14:paraId="4FB781C5" w14:textId="77777777" w:rsidTr="00A05A3A">
        <w:trPr>
          <w:trHeight w:val="300"/>
        </w:trPr>
        <w:tc>
          <w:tcPr>
            <w:tcW w:w="2709" w:type="dxa"/>
            <w:tcBorders>
              <w:top w:val="nil"/>
              <w:left w:val="single" w:sz="4" w:space="0" w:color="auto"/>
              <w:bottom w:val="single" w:sz="4" w:space="0" w:color="auto"/>
              <w:right w:val="single" w:sz="4" w:space="0" w:color="auto"/>
            </w:tcBorders>
            <w:shd w:val="clear" w:color="auto" w:fill="auto"/>
            <w:vAlign w:val="center"/>
            <w:hideMark/>
          </w:tcPr>
          <w:p w14:paraId="3FF8207E" w14:textId="1577E687" w:rsidR="00BC02DF" w:rsidRPr="00C20B08" w:rsidRDefault="00BC02DF" w:rsidP="00D5220C">
            <w:pPr>
              <w:spacing w:after="0" w:line="240" w:lineRule="auto"/>
              <w:jc w:val="center"/>
              <w:rPr>
                <w:rFonts w:ascii="Garamond" w:eastAsia="Times New Roman" w:hAnsi="Garamond" w:cs="Times New Roman"/>
                <w:lang w:eastAsia="fr-FR"/>
              </w:rPr>
            </w:pPr>
            <w:r w:rsidRPr="00C20B08">
              <w:rPr>
                <w:rFonts w:ascii="Garamond" w:eastAsia="Times New Roman" w:hAnsi="Garamond" w:cs="Times New Roman"/>
                <w:lang w:eastAsia="fr-FR"/>
              </w:rPr>
              <w:t>Marge de prudence supplémentaire</w:t>
            </w:r>
            <w:r w:rsidR="009275F4">
              <w:rPr>
                <w:rFonts w:ascii="Garamond" w:eastAsia="Times New Roman" w:hAnsi="Garamond" w:cs="Times New Roman"/>
                <w:lang w:eastAsia="fr-FR"/>
              </w:rPr>
              <w:t xml:space="preserve"> (si applicable)</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2D03685A" w14:textId="77777777" w:rsidR="00BC02DF" w:rsidRPr="00C20B08" w:rsidRDefault="00BC02DF" w:rsidP="001A63D9">
            <w:pPr>
              <w:spacing w:after="0" w:line="240" w:lineRule="auto"/>
              <w:jc w:val="center"/>
              <w:rPr>
                <w:rFonts w:ascii="Garamond" w:eastAsia="Times New Roman" w:hAnsi="Garamond" w:cs="Times New Roman"/>
                <w:lang w:eastAsia="fr-FR"/>
              </w:rPr>
            </w:pPr>
            <w:r w:rsidRPr="00C20B08">
              <w:rPr>
                <w:rFonts w:ascii="Garamond" w:eastAsia="Times New Roman" w:hAnsi="Garamond" w:cs="Times New Roman"/>
                <w:lang w:eastAsia="fr-FR"/>
              </w:rPr>
              <w:t>R0290</w:t>
            </w:r>
          </w:p>
        </w:tc>
        <w:tc>
          <w:tcPr>
            <w:tcW w:w="5528" w:type="dxa"/>
            <w:tcBorders>
              <w:top w:val="nil"/>
              <w:left w:val="single" w:sz="4" w:space="0" w:color="auto"/>
              <w:bottom w:val="single" w:sz="4" w:space="0" w:color="auto"/>
              <w:right w:val="single" w:sz="4" w:space="0" w:color="auto"/>
            </w:tcBorders>
          </w:tcPr>
          <w:p w14:paraId="76C71D2F" w14:textId="0B213A20" w:rsidR="00BC02DF" w:rsidRPr="00C20B08" w:rsidRDefault="009275F4" w:rsidP="001A63D9">
            <w:pPr>
              <w:spacing w:after="0" w:line="240" w:lineRule="auto"/>
              <w:jc w:val="both"/>
              <w:rPr>
                <w:rFonts w:ascii="Garamond" w:eastAsia="Times New Roman" w:hAnsi="Garamond" w:cs="Times New Roman"/>
                <w:lang w:eastAsia="fr-FR"/>
              </w:rPr>
            </w:pPr>
            <w:r>
              <w:rPr>
                <w:rFonts w:ascii="Garamond" w:hAnsi="Garamond"/>
              </w:rPr>
              <w:t>La valeur de la marge de prudence – si applicable uniquement.</w:t>
            </w:r>
          </w:p>
        </w:tc>
      </w:tr>
      <w:tr w:rsidR="00BC02DF" w:rsidRPr="00C20B08" w14:paraId="1B62E12D" w14:textId="77777777" w:rsidTr="00A05A3A">
        <w:trPr>
          <w:trHeight w:val="300"/>
        </w:trPr>
        <w:tc>
          <w:tcPr>
            <w:tcW w:w="2709" w:type="dxa"/>
            <w:tcBorders>
              <w:top w:val="nil"/>
              <w:left w:val="single" w:sz="4" w:space="0" w:color="auto"/>
              <w:bottom w:val="single" w:sz="4" w:space="0" w:color="auto"/>
              <w:right w:val="single" w:sz="4" w:space="0" w:color="auto"/>
            </w:tcBorders>
            <w:shd w:val="clear" w:color="auto" w:fill="auto"/>
            <w:vAlign w:val="center"/>
            <w:hideMark/>
          </w:tcPr>
          <w:p w14:paraId="4DFA3968" w14:textId="77777777" w:rsidR="00BC02DF" w:rsidRPr="00C20B08" w:rsidRDefault="00BC02DF" w:rsidP="00D5220C">
            <w:pPr>
              <w:spacing w:after="0" w:line="240" w:lineRule="auto"/>
              <w:jc w:val="center"/>
              <w:rPr>
                <w:rFonts w:ascii="Garamond" w:eastAsia="Times New Roman" w:hAnsi="Garamond" w:cs="Times New Roman"/>
                <w:lang w:eastAsia="fr-FR"/>
              </w:rPr>
            </w:pPr>
            <w:r w:rsidRPr="00C20B08">
              <w:rPr>
                <w:rFonts w:ascii="Garamond" w:eastAsia="Times New Roman" w:hAnsi="Garamond" w:cs="Times New Roman"/>
                <w:lang w:eastAsia="fr-FR"/>
              </w:rPr>
              <w:t>Dettes nées d'opérations de réassurance</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137938A1" w14:textId="77777777" w:rsidR="00BC02DF" w:rsidRPr="00C20B08" w:rsidRDefault="00BC02DF" w:rsidP="001A63D9">
            <w:pPr>
              <w:spacing w:after="0" w:line="240" w:lineRule="auto"/>
              <w:jc w:val="center"/>
              <w:rPr>
                <w:rFonts w:ascii="Garamond" w:eastAsia="Times New Roman" w:hAnsi="Garamond" w:cs="Times New Roman"/>
                <w:lang w:eastAsia="fr-FR"/>
              </w:rPr>
            </w:pPr>
            <w:r w:rsidRPr="00C20B08">
              <w:rPr>
                <w:rFonts w:ascii="Garamond" w:eastAsia="Times New Roman" w:hAnsi="Garamond" w:cs="Times New Roman"/>
                <w:lang w:eastAsia="fr-FR"/>
              </w:rPr>
              <w:t>R0300</w:t>
            </w:r>
          </w:p>
        </w:tc>
        <w:tc>
          <w:tcPr>
            <w:tcW w:w="5528" w:type="dxa"/>
            <w:tcBorders>
              <w:top w:val="nil"/>
              <w:left w:val="single" w:sz="4" w:space="0" w:color="auto"/>
              <w:bottom w:val="single" w:sz="4" w:space="0" w:color="auto"/>
              <w:right w:val="single" w:sz="4" w:space="0" w:color="auto"/>
            </w:tcBorders>
          </w:tcPr>
          <w:p w14:paraId="2C7E36E8" w14:textId="77777777" w:rsidR="00BC02DF" w:rsidRPr="00C20B08" w:rsidRDefault="00BC02DF" w:rsidP="001A63D9">
            <w:pPr>
              <w:spacing w:after="0" w:line="240" w:lineRule="auto"/>
              <w:rPr>
                <w:rFonts w:ascii="Garamond" w:eastAsia="Times New Roman" w:hAnsi="Garamond" w:cs="Times New Roman"/>
                <w:lang w:eastAsia="fr-FR"/>
              </w:rPr>
            </w:pPr>
            <w:r w:rsidRPr="00C20B08">
              <w:rPr>
                <w:rFonts w:ascii="Garamond" w:eastAsia="Times New Roman" w:hAnsi="Garamond" w:cs="Times New Roman"/>
                <w:lang w:eastAsia="fr-FR"/>
              </w:rPr>
              <w:t>Montants dus aux preneurs et à d’autres assureurs et entreprises, et liés aux activités d’assurance, mais qui ne sont pas des provisions techniques.</w:t>
            </w:r>
          </w:p>
          <w:p w14:paraId="010D2186" w14:textId="77777777" w:rsidR="00BC02DF" w:rsidRPr="00C20B08" w:rsidRDefault="00BC02DF" w:rsidP="001A63D9">
            <w:pPr>
              <w:spacing w:after="0" w:line="240" w:lineRule="auto"/>
              <w:rPr>
                <w:rFonts w:ascii="Garamond" w:eastAsia="Times New Roman" w:hAnsi="Garamond" w:cs="Times New Roman"/>
                <w:lang w:eastAsia="fr-FR"/>
              </w:rPr>
            </w:pPr>
            <w:r w:rsidRPr="00C20B08">
              <w:rPr>
                <w:rFonts w:ascii="Garamond" w:eastAsia="Times New Roman" w:hAnsi="Garamond" w:cs="Times New Roman"/>
                <w:lang w:eastAsia="fr-FR"/>
              </w:rPr>
              <w:t>Inclut les montants dus aux intermédiaires de (ré)assurance (par exemple les commissions dues aux intermédiaires mais non encore payées par l’entreprise).</w:t>
            </w:r>
          </w:p>
          <w:p w14:paraId="6FCBD0D7" w14:textId="77777777" w:rsidR="00BC02DF" w:rsidRPr="00C20B08" w:rsidRDefault="00BC02DF" w:rsidP="001A63D9">
            <w:pPr>
              <w:spacing w:after="0" w:line="240" w:lineRule="auto"/>
              <w:rPr>
                <w:rFonts w:ascii="Garamond" w:eastAsia="Times New Roman" w:hAnsi="Garamond" w:cs="Times New Roman"/>
                <w:lang w:eastAsia="fr-FR"/>
              </w:rPr>
            </w:pPr>
            <w:r w:rsidRPr="00C20B08">
              <w:rPr>
                <w:rFonts w:ascii="Garamond" w:eastAsia="Times New Roman" w:hAnsi="Garamond" w:cs="Times New Roman"/>
                <w:lang w:eastAsia="fr-FR"/>
              </w:rPr>
              <w:t>Exclut les prêts et les crédits hypothécaires dus à d’autres assureurs s’ils sont uniquement liés aux financements, mais non à l’activité d’assurance (ces prêts et crédits hypothécaires sont à inclure dans les dettes financières).</w:t>
            </w:r>
          </w:p>
          <w:p w14:paraId="212173C4" w14:textId="294909FE" w:rsidR="00BC02DF" w:rsidRPr="00C20B08" w:rsidRDefault="00BC02DF" w:rsidP="001A63D9">
            <w:pPr>
              <w:spacing w:after="0" w:line="240" w:lineRule="auto"/>
              <w:rPr>
                <w:rFonts w:ascii="Garamond" w:eastAsia="Times New Roman" w:hAnsi="Garamond" w:cs="Times New Roman"/>
                <w:lang w:eastAsia="fr-FR"/>
              </w:rPr>
            </w:pPr>
            <w:r w:rsidRPr="00C20B08">
              <w:rPr>
                <w:rFonts w:ascii="Garamond" w:eastAsia="Times New Roman" w:hAnsi="Garamond" w:cs="Times New Roman"/>
                <w:lang w:eastAsia="fr-FR"/>
              </w:rPr>
              <w:t>Inclut les dettes nées d’opérations de réassurance acceptée.</w:t>
            </w:r>
          </w:p>
        </w:tc>
      </w:tr>
      <w:tr w:rsidR="00BC02DF" w:rsidRPr="00C20B08" w14:paraId="0F9EB0E2" w14:textId="77777777" w:rsidTr="00A05A3A">
        <w:trPr>
          <w:trHeight w:val="300"/>
        </w:trPr>
        <w:tc>
          <w:tcPr>
            <w:tcW w:w="2709" w:type="dxa"/>
            <w:tcBorders>
              <w:top w:val="nil"/>
              <w:left w:val="single" w:sz="4" w:space="0" w:color="auto"/>
              <w:bottom w:val="single" w:sz="4" w:space="0" w:color="auto"/>
              <w:right w:val="single" w:sz="4" w:space="0" w:color="auto"/>
            </w:tcBorders>
            <w:shd w:val="clear" w:color="auto" w:fill="auto"/>
            <w:vAlign w:val="center"/>
            <w:hideMark/>
          </w:tcPr>
          <w:p w14:paraId="3B652CF3" w14:textId="77777777" w:rsidR="00BC02DF" w:rsidRPr="00C20B08" w:rsidRDefault="00BC02DF" w:rsidP="00D5220C">
            <w:pPr>
              <w:spacing w:after="0" w:line="240" w:lineRule="auto"/>
              <w:jc w:val="center"/>
              <w:rPr>
                <w:rFonts w:ascii="Garamond" w:eastAsia="Times New Roman" w:hAnsi="Garamond" w:cs="Times New Roman"/>
                <w:lang w:eastAsia="fr-FR"/>
              </w:rPr>
            </w:pPr>
            <w:r w:rsidRPr="00C20B08">
              <w:rPr>
                <w:rFonts w:ascii="Garamond" w:eastAsia="Times New Roman" w:hAnsi="Garamond" w:cs="Times New Roman"/>
                <w:lang w:eastAsia="fr-FR"/>
              </w:rPr>
              <w:t>Autres passifs (hors éléments de fonds propres)</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337A498F" w14:textId="77777777" w:rsidR="00BC02DF" w:rsidRPr="00C20B08" w:rsidRDefault="00BC02DF" w:rsidP="001A63D9">
            <w:pPr>
              <w:spacing w:after="0" w:line="240" w:lineRule="auto"/>
              <w:jc w:val="center"/>
              <w:rPr>
                <w:rFonts w:ascii="Garamond" w:eastAsia="Times New Roman" w:hAnsi="Garamond" w:cs="Times New Roman"/>
                <w:lang w:eastAsia="fr-FR"/>
              </w:rPr>
            </w:pPr>
            <w:r w:rsidRPr="00C20B08">
              <w:rPr>
                <w:rFonts w:ascii="Garamond" w:eastAsia="Times New Roman" w:hAnsi="Garamond" w:cs="Times New Roman"/>
                <w:lang w:eastAsia="fr-FR"/>
              </w:rPr>
              <w:t>R0310</w:t>
            </w:r>
          </w:p>
        </w:tc>
        <w:tc>
          <w:tcPr>
            <w:tcW w:w="5528" w:type="dxa"/>
            <w:tcBorders>
              <w:top w:val="nil"/>
              <w:left w:val="single" w:sz="4" w:space="0" w:color="auto"/>
              <w:bottom w:val="single" w:sz="4" w:space="0" w:color="auto"/>
              <w:right w:val="single" w:sz="4" w:space="0" w:color="auto"/>
            </w:tcBorders>
          </w:tcPr>
          <w:p w14:paraId="7CDB998D" w14:textId="15388084" w:rsidR="00BC02DF" w:rsidRPr="00C20B08" w:rsidRDefault="00BC02DF" w:rsidP="001A63D9">
            <w:pPr>
              <w:spacing w:after="0" w:line="240" w:lineRule="auto"/>
              <w:rPr>
                <w:rFonts w:ascii="Garamond" w:eastAsia="Times New Roman" w:hAnsi="Garamond" w:cs="Times New Roman"/>
                <w:lang w:eastAsia="fr-FR"/>
              </w:rPr>
            </w:pPr>
            <w:r w:rsidRPr="00C20B08">
              <w:rPr>
                <w:rFonts w:ascii="Garamond" w:eastAsia="Times New Roman" w:hAnsi="Garamond" w:cs="Times New Roman"/>
                <w:lang w:eastAsia="fr-FR"/>
              </w:rPr>
              <w:t>Montant total de tous les autres passifs non inclus déjà dans</w:t>
            </w:r>
            <w:r w:rsidR="00FB20DC">
              <w:rPr>
                <w:rFonts w:ascii="Garamond" w:eastAsia="Times New Roman" w:hAnsi="Garamond" w:cs="Times New Roman"/>
                <w:lang w:eastAsia="fr-FR"/>
              </w:rPr>
              <w:t xml:space="preserve"> </w:t>
            </w:r>
            <w:r w:rsidRPr="00C20B08">
              <w:rPr>
                <w:rFonts w:ascii="Garamond" w:eastAsia="Times New Roman" w:hAnsi="Garamond" w:cs="Times New Roman"/>
                <w:lang w:eastAsia="fr-FR"/>
              </w:rPr>
              <w:t>d’autres postes du bilan.</w:t>
            </w:r>
          </w:p>
        </w:tc>
      </w:tr>
      <w:tr w:rsidR="00BC02DF" w:rsidRPr="00C20B08" w14:paraId="7D93205D" w14:textId="77777777" w:rsidTr="00A05A3A">
        <w:trPr>
          <w:trHeight w:val="300"/>
        </w:trPr>
        <w:tc>
          <w:tcPr>
            <w:tcW w:w="2709" w:type="dxa"/>
            <w:tcBorders>
              <w:top w:val="nil"/>
              <w:left w:val="single" w:sz="4" w:space="0" w:color="auto"/>
              <w:bottom w:val="single" w:sz="4" w:space="0" w:color="auto"/>
              <w:right w:val="single" w:sz="4" w:space="0" w:color="auto"/>
            </w:tcBorders>
            <w:shd w:val="clear" w:color="auto" w:fill="auto"/>
            <w:vAlign w:val="center"/>
            <w:hideMark/>
          </w:tcPr>
          <w:p w14:paraId="55F48EEA" w14:textId="77777777" w:rsidR="00BC02DF" w:rsidRPr="00C20B08" w:rsidRDefault="00BC02DF" w:rsidP="00D5220C">
            <w:pPr>
              <w:spacing w:after="0" w:line="240" w:lineRule="auto"/>
              <w:jc w:val="center"/>
              <w:rPr>
                <w:rFonts w:ascii="Garamond" w:eastAsia="Times New Roman" w:hAnsi="Garamond" w:cs="Times New Roman"/>
                <w:b/>
                <w:bCs/>
                <w:lang w:eastAsia="fr-FR"/>
              </w:rPr>
            </w:pPr>
            <w:r w:rsidRPr="00C20B08">
              <w:rPr>
                <w:rFonts w:ascii="Garamond" w:eastAsia="Times New Roman" w:hAnsi="Garamond" w:cs="Times New Roman"/>
                <w:b/>
                <w:bCs/>
                <w:lang w:eastAsia="fr-FR"/>
              </w:rPr>
              <w:t>Total des passifs (hors éléments de fonds propres)</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221B856B" w14:textId="77777777" w:rsidR="00BC02DF" w:rsidRPr="00C20B08" w:rsidRDefault="00BC02DF" w:rsidP="001A63D9">
            <w:pPr>
              <w:spacing w:after="0" w:line="240" w:lineRule="auto"/>
              <w:jc w:val="center"/>
              <w:rPr>
                <w:rFonts w:ascii="Garamond" w:eastAsia="Times New Roman" w:hAnsi="Garamond" w:cs="Times New Roman"/>
                <w:b/>
                <w:bCs/>
                <w:lang w:eastAsia="fr-FR"/>
              </w:rPr>
            </w:pPr>
            <w:r w:rsidRPr="00C20B08">
              <w:rPr>
                <w:rFonts w:ascii="Garamond" w:eastAsia="Times New Roman" w:hAnsi="Garamond" w:cs="Times New Roman"/>
                <w:b/>
                <w:bCs/>
                <w:lang w:eastAsia="fr-FR"/>
              </w:rPr>
              <w:t>R0320</w:t>
            </w:r>
          </w:p>
        </w:tc>
        <w:tc>
          <w:tcPr>
            <w:tcW w:w="5528" w:type="dxa"/>
            <w:tcBorders>
              <w:top w:val="nil"/>
              <w:left w:val="single" w:sz="4" w:space="0" w:color="auto"/>
              <w:bottom w:val="single" w:sz="4" w:space="0" w:color="auto"/>
              <w:right w:val="single" w:sz="4" w:space="0" w:color="auto"/>
            </w:tcBorders>
          </w:tcPr>
          <w:p w14:paraId="256A6436" w14:textId="33A70791" w:rsidR="00BC02DF" w:rsidRPr="00C20B08" w:rsidRDefault="00BC02DF" w:rsidP="001875B3">
            <w:pPr>
              <w:spacing w:after="0" w:line="240" w:lineRule="auto"/>
              <w:rPr>
                <w:rFonts w:ascii="Garamond" w:eastAsia="Times New Roman" w:hAnsi="Garamond" w:cs="Times New Roman"/>
                <w:b/>
                <w:bCs/>
                <w:lang w:eastAsia="fr-FR"/>
              </w:rPr>
            </w:pPr>
            <w:r w:rsidRPr="00C20B08">
              <w:rPr>
                <w:rFonts w:ascii="Garamond" w:eastAsia="Times New Roman" w:hAnsi="Garamond" w:cs="Times New Roman"/>
                <w:lang w:eastAsia="fr-FR"/>
              </w:rPr>
              <w:t xml:space="preserve">Montant total global de tous les éléments de passif. </w:t>
            </w:r>
          </w:p>
        </w:tc>
      </w:tr>
      <w:tr w:rsidR="00CF1D20" w:rsidRPr="00BE4E7E" w14:paraId="360AE0FA" w14:textId="77777777" w:rsidTr="00A05A3A">
        <w:trPr>
          <w:trHeight w:val="300"/>
        </w:trPr>
        <w:tc>
          <w:tcPr>
            <w:tcW w:w="2709" w:type="dxa"/>
            <w:tcBorders>
              <w:top w:val="nil"/>
              <w:left w:val="single" w:sz="4" w:space="0" w:color="auto"/>
              <w:bottom w:val="single" w:sz="4" w:space="0" w:color="auto"/>
              <w:right w:val="single" w:sz="4" w:space="0" w:color="auto"/>
            </w:tcBorders>
            <w:shd w:val="clear" w:color="auto" w:fill="auto"/>
            <w:vAlign w:val="center"/>
          </w:tcPr>
          <w:p w14:paraId="104D8B32" w14:textId="77777777" w:rsidR="00CF1D20" w:rsidRPr="00CF1D20" w:rsidRDefault="00CF1D20" w:rsidP="00D5220C">
            <w:pPr>
              <w:spacing w:after="0" w:line="240" w:lineRule="auto"/>
              <w:jc w:val="center"/>
              <w:rPr>
                <w:rFonts w:ascii="Garamond" w:eastAsia="Times New Roman" w:hAnsi="Garamond" w:cs="Times New Roman"/>
                <w:bCs/>
                <w:lang w:eastAsia="fr-FR"/>
              </w:rPr>
            </w:pPr>
            <w:r w:rsidRPr="00CF1D20">
              <w:rPr>
                <w:rFonts w:ascii="Garamond" w:eastAsia="Times New Roman" w:hAnsi="Garamond" w:cs="Times New Roman"/>
                <w:bCs/>
                <w:lang w:eastAsia="fr-FR"/>
              </w:rPr>
              <w:t>Excédent d'actif sur passif</w:t>
            </w:r>
          </w:p>
        </w:tc>
        <w:tc>
          <w:tcPr>
            <w:tcW w:w="850" w:type="dxa"/>
            <w:tcBorders>
              <w:top w:val="nil"/>
              <w:left w:val="single" w:sz="4" w:space="0" w:color="auto"/>
              <w:bottom w:val="single" w:sz="4" w:space="0" w:color="auto"/>
              <w:right w:val="single" w:sz="4" w:space="0" w:color="auto"/>
            </w:tcBorders>
            <w:shd w:val="clear" w:color="auto" w:fill="auto"/>
            <w:vAlign w:val="center"/>
          </w:tcPr>
          <w:p w14:paraId="09E1B6F0" w14:textId="77777777" w:rsidR="00CF1D20" w:rsidRPr="00CF1D20" w:rsidRDefault="00CF1D20" w:rsidP="001A63D9">
            <w:pPr>
              <w:spacing w:after="0" w:line="240" w:lineRule="auto"/>
              <w:jc w:val="center"/>
              <w:rPr>
                <w:rFonts w:ascii="Garamond" w:eastAsia="Times New Roman" w:hAnsi="Garamond" w:cs="Times New Roman"/>
                <w:bCs/>
                <w:lang w:eastAsia="fr-FR"/>
              </w:rPr>
            </w:pPr>
            <w:r>
              <w:rPr>
                <w:rFonts w:ascii="Garamond" w:eastAsia="Times New Roman" w:hAnsi="Garamond" w:cs="Times New Roman"/>
                <w:bCs/>
                <w:lang w:eastAsia="fr-FR"/>
              </w:rPr>
              <w:t>ER0321</w:t>
            </w:r>
          </w:p>
        </w:tc>
        <w:tc>
          <w:tcPr>
            <w:tcW w:w="5528" w:type="dxa"/>
            <w:tcBorders>
              <w:top w:val="nil"/>
              <w:left w:val="single" w:sz="4" w:space="0" w:color="auto"/>
              <w:bottom w:val="single" w:sz="4" w:space="0" w:color="auto"/>
              <w:right w:val="single" w:sz="4" w:space="0" w:color="auto"/>
            </w:tcBorders>
          </w:tcPr>
          <w:p w14:paraId="3333CA63" w14:textId="77777777" w:rsidR="00217C99" w:rsidRDefault="00217C99" w:rsidP="00217C99">
            <w:pPr>
              <w:spacing w:after="0" w:line="240" w:lineRule="auto"/>
              <w:rPr>
                <w:rFonts w:ascii="Garamond" w:eastAsia="Times New Roman" w:hAnsi="Garamond" w:cs="Times New Roman"/>
                <w:bCs/>
                <w:lang w:eastAsia="fr-FR"/>
              </w:rPr>
            </w:pPr>
            <w:r>
              <w:rPr>
                <w:rFonts w:ascii="Garamond" w:eastAsia="Times New Roman" w:hAnsi="Garamond" w:cs="Times New Roman"/>
                <w:bCs/>
                <w:lang w:eastAsia="fr-FR"/>
              </w:rPr>
              <w:t>Ce poste est le t</w:t>
            </w:r>
            <w:r w:rsidRPr="00BE4E7E">
              <w:rPr>
                <w:rFonts w:ascii="Garamond" w:eastAsia="Times New Roman" w:hAnsi="Garamond" w:cs="Times New Roman"/>
                <w:bCs/>
                <w:lang w:eastAsia="fr-FR"/>
              </w:rPr>
              <w:t>otal de l’excédent d’actif sur passif</w:t>
            </w:r>
            <w:r>
              <w:rPr>
                <w:rFonts w:ascii="Garamond" w:eastAsia="Times New Roman" w:hAnsi="Garamond" w:cs="Times New Roman"/>
                <w:bCs/>
                <w:lang w:eastAsia="fr-FR"/>
              </w:rPr>
              <w:t xml:space="preserve"> de l’organisme (Ajout BCE)</w:t>
            </w:r>
            <w:r w:rsidRPr="00BE4E7E">
              <w:rPr>
                <w:rFonts w:ascii="Garamond" w:eastAsia="Times New Roman" w:hAnsi="Garamond" w:cs="Times New Roman"/>
                <w:bCs/>
                <w:lang w:eastAsia="fr-FR"/>
              </w:rPr>
              <w:t>.</w:t>
            </w:r>
            <w:r>
              <w:rPr>
                <w:rFonts w:ascii="Garamond" w:eastAsia="Times New Roman" w:hAnsi="Garamond" w:cs="Times New Roman"/>
                <w:bCs/>
                <w:lang w:eastAsia="fr-FR"/>
              </w:rPr>
              <w:t xml:space="preserve"> Valeur des actifs moins les passifs. L’excédent d’actif sur passif doit inclure les postes suivants déclarés dans EP.03.01 :</w:t>
            </w:r>
          </w:p>
          <w:p w14:paraId="64E81074" w14:textId="77777777" w:rsidR="00217C99" w:rsidRDefault="00217C99" w:rsidP="00217C99">
            <w:pPr>
              <w:pStyle w:val="Paragraphedeliste"/>
              <w:numPr>
                <w:ilvl w:val="0"/>
                <w:numId w:val="14"/>
              </w:numPr>
              <w:spacing w:after="0" w:line="240" w:lineRule="auto"/>
              <w:rPr>
                <w:rFonts w:ascii="Garamond" w:eastAsia="Times New Roman" w:hAnsi="Garamond" w:cs="Times New Roman"/>
                <w:bCs/>
                <w:lang w:eastAsia="fr-FR"/>
              </w:rPr>
            </w:pPr>
            <w:r w:rsidRPr="0000517A">
              <w:rPr>
                <w:rFonts w:ascii="Garamond" w:eastAsia="Times New Roman" w:hAnsi="Garamond" w:cs="Times New Roman"/>
                <w:bCs/>
                <w:lang w:eastAsia="fr-FR"/>
              </w:rPr>
              <w:t>Actions (SEC 2010 : F.5, F.519)</w:t>
            </w:r>
            <w:r>
              <w:rPr>
                <w:rFonts w:ascii="Garamond" w:eastAsia="Times New Roman" w:hAnsi="Garamond" w:cs="Times New Roman"/>
                <w:bCs/>
                <w:lang w:eastAsia="fr-FR"/>
              </w:rPr>
              <w:t xml:space="preserve"> (ER0070)</w:t>
            </w:r>
          </w:p>
          <w:p w14:paraId="72EE2B95" w14:textId="29DA27AF" w:rsidR="00CF1D20" w:rsidRPr="001875B3" w:rsidRDefault="00217C99" w:rsidP="001875B3">
            <w:pPr>
              <w:pStyle w:val="Paragraphedeliste"/>
              <w:numPr>
                <w:ilvl w:val="0"/>
                <w:numId w:val="14"/>
              </w:numPr>
              <w:spacing w:after="0" w:line="240" w:lineRule="auto"/>
              <w:rPr>
                <w:rFonts w:ascii="Garamond" w:eastAsia="Times New Roman" w:hAnsi="Garamond" w:cs="Times New Roman"/>
                <w:bCs/>
                <w:lang w:eastAsia="fr-FR"/>
              </w:rPr>
            </w:pPr>
            <w:r>
              <w:rPr>
                <w:rFonts w:ascii="Garamond" w:eastAsia="Times New Roman" w:hAnsi="Garamond" w:cs="Times New Roman"/>
                <w:bCs/>
                <w:lang w:eastAsia="fr-FR"/>
              </w:rPr>
              <w:t>Valeur nette (SEC 2010: B</w:t>
            </w:r>
            <w:r w:rsidRPr="0000517A">
              <w:rPr>
                <w:rFonts w:ascii="Garamond" w:eastAsia="Times New Roman" w:hAnsi="Garamond" w:cs="Times New Roman"/>
                <w:bCs/>
                <w:lang w:eastAsia="fr-FR"/>
              </w:rPr>
              <w:t>90)</w:t>
            </w:r>
            <w:r>
              <w:rPr>
                <w:rFonts w:ascii="Garamond" w:eastAsia="Times New Roman" w:hAnsi="Garamond" w:cs="Times New Roman"/>
                <w:bCs/>
                <w:lang w:eastAsia="fr-FR"/>
              </w:rPr>
              <w:t xml:space="preserve"> (ER0160)</w:t>
            </w:r>
          </w:p>
        </w:tc>
      </w:tr>
      <w:tr w:rsidR="00BC02DF" w:rsidRPr="00C20B08" w14:paraId="45B37B84" w14:textId="77777777" w:rsidTr="00A05A3A">
        <w:trPr>
          <w:trHeight w:val="300"/>
        </w:trPr>
        <w:tc>
          <w:tcPr>
            <w:tcW w:w="2709" w:type="dxa"/>
            <w:tcBorders>
              <w:top w:val="nil"/>
              <w:left w:val="single" w:sz="4" w:space="0" w:color="auto"/>
              <w:bottom w:val="single" w:sz="4" w:space="0" w:color="auto"/>
              <w:right w:val="single" w:sz="4" w:space="0" w:color="auto"/>
            </w:tcBorders>
            <w:shd w:val="clear" w:color="auto" w:fill="auto"/>
            <w:vAlign w:val="center"/>
            <w:hideMark/>
          </w:tcPr>
          <w:p w14:paraId="5A659562" w14:textId="77777777" w:rsidR="00BC02DF" w:rsidRPr="00C20B08" w:rsidRDefault="00BC02DF" w:rsidP="00D5220C">
            <w:pPr>
              <w:spacing w:after="0" w:line="240" w:lineRule="auto"/>
              <w:jc w:val="center"/>
              <w:rPr>
                <w:rFonts w:ascii="Garamond" w:eastAsia="Times New Roman" w:hAnsi="Garamond" w:cs="Times New Roman"/>
                <w:b/>
                <w:bCs/>
                <w:lang w:eastAsia="fr-FR"/>
              </w:rPr>
            </w:pPr>
            <w:r w:rsidRPr="00C20B08">
              <w:rPr>
                <w:rFonts w:ascii="Garamond" w:eastAsia="Times New Roman" w:hAnsi="Garamond" w:cs="Times New Roman"/>
                <w:b/>
                <w:bCs/>
                <w:lang w:eastAsia="fr-FR"/>
              </w:rPr>
              <w:t>Fonds propres réglementaires (Dont plus-values latentes admissibles)</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0620C425" w14:textId="77777777" w:rsidR="00BC02DF" w:rsidRPr="00C20B08" w:rsidRDefault="00BC02DF" w:rsidP="001A63D9">
            <w:pPr>
              <w:spacing w:after="0" w:line="240" w:lineRule="auto"/>
              <w:jc w:val="center"/>
              <w:rPr>
                <w:rFonts w:ascii="Garamond" w:eastAsia="Times New Roman" w:hAnsi="Garamond" w:cs="Times New Roman"/>
                <w:b/>
                <w:bCs/>
                <w:lang w:eastAsia="fr-FR"/>
              </w:rPr>
            </w:pPr>
            <w:r w:rsidRPr="00C20B08">
              <w:rPr>
                <w:rFonts w:ascii="Garamond" w:eastAsia="Times New Roman" w:hAnsi="Garamond" w:cs="Times New Roman"/>
                <w:b/>
                <w:bCs/>
                <w:lang w:eastAsia="fr-FR"/>
              </w:rPr>
              <w:t>R0330</w:t>
            </w:r>
          </w:p>
        </w:tc>
        <w:tc>
          <w:tcPr>
            <w:tcW w:w="5528" w:type="dxa"/>
            <w:tcBorders>
              <w:top w:val="nil"/>
              <w:left w:val="single" w:sz="4" w:space="0" w:color="auto"/>
              <w:bottom w:val="single" w:sz="4" w:space="0" w:color="auto"/>
              <w:right w:val="single" w:sz="4" w:space="0" w:color="auto"/>
            </w:tcBorders>
          </w:tcPr>
          <w:p w14:paraId="2C5B4D5C" w14:textId="31312E88" w:rsidR="00BC02DF" w:rsidRPr="00C20B08" w:rsidRDefault="00BC02DF" w:rsidP="001A63D9">
            <w:pPr>
              <w:spacing w:after="0" w:line="240" w:lineRule="auto"/>
              <w:rPr>
                <w:rFonts w:ascii="Garamond" w:eastAsia="Times New Roman" w:hAnsi="Garamond" w:cs="Times New Roman"/>
                <w:bCs/>
                <w:lang w:eastAsia="fr-FR"/>
              </w:rPr>
            </w:pPr>
            <w:r w:rsidRPr="00C20B08">
              <w:rPr>
                <w:rFonts w:ascii="Garamond" w:eastAsia="Times New Roman" w:hAnsi="Garamond" w:cs="Times New Roman"/>
                <w:bCs/>
                <w:lang w:eastAsia="fr-FR"/>
              </w:rPr>
              <w:t>Total des réserves / capitaux propres et fonds mutualistes figurant au passif du bilan</w:t>
            </w:r>
            <w:r w:rsidR="009275F4">
              <w:rPr>
                <w:rFonts w:ascii="Garamond" w:eastAsia="Times New Roman" w:hAnsi="Garamond" w:cs="Times New Roman"/>
                <w:bCs/>
                <w:lang w:eastAsia="fr-FR"/>
              </w:rPr>
              <w:t xml:space="preserve"> (tel que défini à l’article 15 de la directive IORP)</w:t>
            </w:r>
            <w:r w:rsidRPr="00C20B08">
              <w:rPr>
                <w:rFonts w:ascii="Garamond" w:eastAsia="Times New Roman" w:hAnsi="Garamond" w:cs="Times New Roman"/>
                <w:bCs/>
                <w:lang w:eastAsia="fr-FR"/>
              </w:rPr>
              <w:t xml:space="preserve">, avec prise en compte des plus-values latentes en constitution de la marge de solvabilité pour les organismes de retraite professionnelle supplémentaire autorisée dans les conditions définies dans l’Instruction n° 2018-I-13. </w:t>
            </w:r>
          </w:p>
        </w:tc>
      </w:tr>
      <w:tr w:rsidR="00BC02DF" w:rsidRPr="00C20B08" w14:paraId="39A55C74" w14:textId="77777777" w:rsidTr="00A05A3A">
        <w:trPr>
          <w:trHeight w:val="300"/>
        </w:trPr>
        <w:tc>
          <w:tcPr>
            <w:tcW w:w="2709" w:type="dxa"/>
            <w:tcBorders>
              <w:top w:val="nil"/>
              <w:left w:val="single" w:sz="4" w:space="0" w:color="auto"/>
              <w:bottom w:val="single" w:sz="4" w:space="0" w:color="auto"/>
              <w:right w:val="single" w:sz="4" w:space="0" w:color="auto"/>
            </w:tcBorders>
            <w:shd w:val="clear" w:color="auto" w:fill="auto"/>
            <w:vAlign w:val="center"/>
            <w:hideMark/>
          </w:tcPr>
          <w:p w14:paraId="11966088" w14:textId="77777777" w:rsidR="00BC02DF" w:rsidRPr="00C20B08" w:rsidRDefault="00BC02DF" w:rsidP="00D5220C">
            <w:pPr>
              <w:spacing w:after="0" w:line="240" w:lineRule="auto"/>
              <w:jc w:val="center"/>
              <w:rPr>
                <w:rFonts w:ascii="Garamond" w:eastAsia="Times New Roman" w:hAnsi="Garamond" w:cs="Times New Roman"/>
                <w:b/>
                <w:bCs/>
                <w:lang w:eastAsia="fr-FR"/>
              </w:rPr>
            </w:pPr>
            <w:r w:rsidRPr="00C20B08">
              <w:rPr>
                <w:rFonts w:ascii="Garamond" w:eastAsia="Times New Roman" w:hAnsi="Garamond" w:cs="Times New Roman"/>
                <w:b/>
                <w:bCs/>
                <w:lang w:eastAsia="fr-FR"/>
              </w:rPr>
              <w:t>Dont Réserves</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5101F242" w14:textId="77777777" w:rsidR="00BC02DF" w:rsidRPr="00C20B08" w:rsidRDefault="00BC02DF" w:rsidP="001A63D9">
            <w:pPr>
              <w:spacing w:after="0" w:line="240" w:lineRule="auto"/>
              <w:jc w:val="center"/>
              <w:rPr>
                <w:rFonts w:ascii="Garamond" w:eastAsia="Times New Roman" w:hAnsi="Garamond" w:cs="Times New Roman"/>
                <w:b/>
                <w:bCs/>
                <w:lang w:eastAsia="fr-FR"/>
              </w:rPr>
            </w:pPr>
            <w:r w:rsidRPr="00C20B08">
              <w:rPr>
                <w:rFonts w:ascii="Garamond" w:eastAsia="Times New Roman" w:hAnsi="Garamond" w:cs="Times New Roman"/>
                <w:b/>
                <w:bCs/>
                <w:lang w:eastAsia="fr-FR"/>
              </w:rPr>
              <w:t>R0340</w:t>
            </w:r>
          </w:p>
        </w:tc>
        <w:tc>
          <w:tcPr>
            <w:tcW w:w="5528" w:type="dxa"/>
            <w:tcBorders>
              <w:top w:val="nil"/>
              <w:left w:val="single" w:sz="4" w:space="0" w:color="auto"/>
              <w:bottom w:val="single" w:sz="4" w:space="0" w:color="auto"/>
              <w:right w:val="single" w:sz="4" w:space="0" w:color="auto"/>
            </w:tcBorders>
          </w:tcPr>
          <w:p w14:paraId="61B6B75D" w14:textId="7A4A949E" w:rsidR="00BC02DF" w:rsidRPr="00C20B08" w:rsidRDefault="00BC02DF" w:rsidP="001875B3">
            <w:pPr>
              <w:spacing w:after="0" w:line="240" w:lineRule="auto"/>
              <w:rPr>
                <w:rFonts w:ascii="Garamond" w:eastAsia="Times New Roman" w:hAnsi="Garamond" w:cs="Times New Roman"/>
                <w:b/>
                <w:bCs/>
                <w:lang w:eastAsia="fr-FR"/>
              </w:rPr>
            </w:pPr>
            <w:r w:rsidRPr="00C20B08">
              <w:rPr>
                <w:rFonts w:ascii="Garamond" w:eastAsia="Times New Roman" w:hAnsi="Garamond" w:cs="Times New Roman"/>
                <w:bCs/>
                <w:lang w:eastAsia="fr-FR"/>
              </w:rPr>
              <w:t>Somme des réserves indisponibles d’une part et des réserves ne correspondant pas aux engagements d’autre part.</w:t>
            </w:r>
          </w:p>
        </w:tc>
      </w:tr>
      <w:tr w:rsidR="00BC02DF" w:rsidRPr="00C20B08" w14:paraId="2F14B6F0" w14:textId="77777777" w:rsidTr="00A05A3A">
        <w:trPr>
          <w:trHeight w:val="600"/>
        </w:trPr>
        <w:tc>
          <w:tcPr>
            <w:tcW w:w="2709" w:type="dxa"/>
            <w:tcBorders>
              <w:top w:val="nil"/>
              <w:left w:val="single" w:sz="4" w:space="0" w:color="auto"/>
              <w:bottom w:val="single" w:sz="4" w:space="0" w:color="auto"/>
              <w:right w:val="single" w:sz="4" w:space="0" w:color="auto"/>
            </w:tcBorders>
            <w:shd w:val="clear" w:color="auto" w:fill="auto"/>
            <w:vAlign w:val="center"/>
            <w:hideMark/>
          </w:tcPr>
          <w:p w14:paraId="17D896AD" w14:textId="14179D02" w:rsidR="00BC02DF" w:rsidRPr="00C20B08" w:rsidRDefault="006008A3" w:rsidP="00D5220C">
            <w:pPr>
              <w:spacing w:after="0" w:line="240" w:lineRule="auto"/>
              <w:jc w:val="center"/>
              <w:rPr>
                <w:rFonts w:ascii="Garamond" w:eastAsia="Times New Roman" w:hAnsi="Garamond" w:cs="Times New Roman"/>
                <w:lang w:eastAsia="fr-FR"/>
              </w:rPr>
            </w:pPr>
            <w:r w:rsidRPr="006008A3">
              <w:rPr>
                <w:rFonts w:ascii="Garamond" w:eastAsia="Times New Roman" w:hAnsi="Garamond" w:cs="Times New Roman"/>
                <w:lang w:eastAsia="fr-FR"/>
              </w:rPr>
              <w:t>Dont Réserves non distribuables</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6B1917BA" w14:textId="77777777" w:rsidR="00BC02DF" w:rsidRPr="00C20B08" w:rsidRDefault="00BC02DF" w:rsidP="001A63D9">
            <w:pPr>
              <w:spacing w:after="0" w:line="240" w:lineRule="auto"/>
              <w:jc w:val="center"/>
              <w:rPr>
                <w:rFonts w:ascii="Garamond" w:eastAsia="Times New Roman" w:hAnsi="Garamond" w:cs="Times New Roman"/>
                <w:lang w:eastAsia="fr-FR"/>
              </w:rPr>
            </w:pPr>
            <w:r w:rsidRPr="00C20B08">
              <w:rPr>
                <w:rFonts w:ascii="Garamond" w:eastAsia="Times New Roman" w:hAnsi="Garamond" w:cs="Times New Roman"/>
                <w:lang w:eastAsia="fr-FR"/>
              </w:rPr>
              <w:t>R0350</w:t>
            </w:r>
          </w:p>
        </w:tc>
        <w:tc>
          <w:tcPr>
            <w:tcW w:w="5528" w:type="dxa"/>
            <w:tcBorders>
              <w:top w:val="nil"/>
              <w:left w:val="single" w:sz="4" w:space="0" w:color="auto"/>
              <w:bottom w:val="single" w:sz="4" w:space="0" w:color="auto"/>
              <w:right w:val="single" w:sz="4" w:space="0" w:color="auto"/>
            </w:tcBorders>
          </w:tcPr>
          <w:p w14:paraId="3CB03335" w14:textId="4EEB2703" w:rsidR="00BC02DF" w:rsidRPr="00C20B08" w:rsidRDefault="00BC02DF" w:rsidP="001A63D9">
            <w:pPr>
              <w:spacing w:after="0" w:line="240" w:lineRule="auto"/>
              <w:rPr>
                <w:rFonts w:ascii="Garamond" w:eastAsia="Times New Roman" w:hAnsi="Garamond" w:cs="Times New Roman"/>
                <w:lang w:eastAsia="fr-FR"/>
              </w:rPr>
            </w:pPr>
            <w:r w:rsidRPr="00C20B08">
              <w:rPr>
                <w:rFonts w:ascii="Garamond" w:eastAsia="Times New Roman" w:hAnsi="Garamond" w:cs="Times New Roman"/>
                <w:lang w:eastAsia="fr-FR"/>
              </w:rPr>
              <w:t>Réserves</w:t>
            </w:r>
            <w:r w:rsidR="006008A3">
              <w:rPr>
                <w:rFonts w:ascii="Garamond" w:eastAsia="Times New Roman" w:hAnsi="Garamond" w:cs="Times New Roman"/>
                <w:lang w:eastAsia="fr-FR"/>
              </w:rPr>
              <w:t xml:space="preserve"> non distribuables </w:t>
            </w:r>
            <w:r w:rsidR="006008A3">
              <w:rPr>
                <w:rFonts w:ascii="Garamond" w:eastAsia="Times New Roman" w:hAnsi="Garamond" w:cs="Times New Roman"/>
                <w:bCs/>
                <w:lang w:eastAsia="fr-FR"/>
              </w:rPr>
              <w:t>(tel que défini à l’article 16(2) de la directive IORP)</w:t>
            </w:r>
            <w:r w:rsidR="006008A3" w:rsidRPr="00C20B08">
              <w:rPr>
                <w:rFonts w:ascii="Garamond" w:eastAsia="Times New Roman" w:hAnsi="Garamond" w:cs="Times New Roman"/>
                <w:bCs/>
                <w:lang w:eastAsia="fr-FR"/>
              </w:rPr>
              <w:t>,</w:t>
            </w:r>
            <w:r w:rsidRPr="00C20B08">
              <w:rPr>
                <w:rFonts w:ascii="Garamond" w:eastAsia="Times New Roman" w:hAnsi="Garamond" w:cs="Times New Roman"/>
                <w:lang w:eastAsia="fr-FR"/>
              </w:rPr>
              <w:t xml:space="preserve"> du compte 106 relevant des comptes </w:t>
            </w:r>
          </w:p>
          <w:p w14:paraId="4EA93CD0" w14:textId="4F376465" w:rsidR="00BC02DF" w:rsidRPr="00C20B08" w:rsidRDefault="00BC02DF" w:rsidP="001A63D9">
            <w:pPr>
              <w:spacing w:after="0" w:line="240" w:lineRule="auto"/>
              <w:rPr>
                <w:rFonts w:ascii="Garamond" w:eastAsia="Times New Roman" w:hAnsi="Garamond" w:cs="Times New Roman"/>
                <w:lang w:eastAsia="fr-FR"/>
              </w:rPr>
            </w:pPr>
            <w:r w:rsidRPr="00C20B08">
              <w:rPr>
                <w:rFonts w:ascii="Garamond" w:eastAsia="Times New Roman" w:hAnsi="Garamond" w:cs="Times New Roman"/>
                <w:lang w:eastAsia="fr-FR"/>
              </w:rPr>
              <w:t xml:space="preserve">1061, </w:t>
            </w:r>
            <w:r w:rsidR="006008A3" w:rsidRPr="00C20B08">
              <w:rPr>
                <w:rFonts w:ascii="Garamond" w:eastAsia="Times New Roman" w:hAnsi="Garamond" w:cs="Times New Roman"/>
                <w:lang w:eastAsia="fr-FR"/>
              </w:rPr>
              <w:t>réserve</w:t>
            </w:r>
            <w:r w:rsidRPr="00C20B08">
              <w:rPr>
                <w:rFonts w:ascii="Garamond" w:eastAsia="Times New Roman" w:hAnsi="Garamond" w:cs="Times New Roman"/>
                <w:lang w:eastAsia="fr-FR"/>
              </w:rPr>
              <w:t xml:space="preserve"> </w:t>
            </w:r>
            <w:r w:rsidR="00EB6ECB">
              <w:rPr>
                <w:rFonts w:ascii="Garamond" w:eastAsia="Times New Roman" w:hAnsi="Garamond" w:cs="Times New Roman"/>
                <w:lang w:eastAsia="fr-FR"/>
              </w:rPr>
              <w:t>des fonds techniques</w:t>
            </w:r>
          </w:p>
          <w:p w14:paraId="4D8ED91E" w14:textId="77777777" w:rsidR="00BC02DF" w:rsidRPr="00C20B08" w:rsidRDefault="00BC02DF" w:rsidP="001A63D9">
            <w:pPr>
              <w:spacing w:after="0" w:line="240" w:lineRule="auto"/>
              <w:rPr>
                <w:rFonts w:ascii="Garamond" w:eastAsia="Times New Roman" w:hAnsi="Garamond" w:cs="Times New Roman"/>
                <w:lang w:eastAsia="fr-FR"/>
              </w:rPr>
            </w:pPr>
            <w:r w:rsidRPr="00C20B08">
              <w:rPr>
                <w:rFonts w:ascii="Garamond" w:eastAsia="Times New Roman" w:hAnsi="Garamond" w:cs="Times New Roman"/>
                <w:lang w:eastAsia="fr-FR"/>
              </w:rPr>
              <w:t>1062, réserves indisponibles</w:t>
            </w:r>
          </w:p>
          <w:p w14:paraId="7C2C40C4" w14:textId="77777777" w:rsidR="00BC02DF" w:rsidRPr="00C20B08" w:rsidRDefault="00BC02DF" w:rsidP="001A63D9">
            <w:pPr>
              <w:spacing w:after="0" w:line="240" w:lineRule="auto"/>
              <w:rPr>
                <w:rFonts w:ascii="Garamond" w:eastAsia="Times New Roman" w:hAnsi="Garamond" w:cs="Times New Roman"/>
                <w:lang w:eastAsia="fr-FR"/>
              </w:rPr>
            </w:pPr>
            <w:r w:rsidRPr="00C20B08">
              <w:rPr>
                <w:rFonts w:ascii="Garamond" w:eastAsia="Times New Roman" w:hAnsi="Garamond" w:cs="Times New Roman"/>
                <w:lang w:eastAsia="fr-FR"/>
              </w:rPr>
              <w:t>1063, réserves statutaires ou contractuelles</w:t>
            </w:r>
          </w:p>
          <w:p w14:paraId="48BD9C7C" w14:textId="77777777" w:rsidR="00BC02DF" w:rsidRPr="00C20B08" w:rsidRDefault="00BC02DF" w:rsidP="001A63D9">
            <w:pPr>
              <w:spacing w:after="0" w:line="240" w:lineRule="auto"/>
              <w:rPr>
                <w:rFonts w:ascii="Garamond" w:eastAsia="Times New Roman" w:hAnsi="Garamond" w:cs="Times New Roman"/>
                <w:lang w:eastAsia="fr-FR"/>
              </w:rPr>
            </w:pPr>
            <w:r w:rsidRPr="00C20B08">
              <w:rPr>
                <w:rFonts w:ascii="Garamond" w:eastAsia="Times New Roman" w:hAnsi="Garamond" w:cs="Times New Roman"/>
                <w:lang w:eastAsia="fr-FR"/>
              </w:rPr>
              <w:t>1064, réserves réglementées (sauf réserve de capitalisation)</w:t>
            </w:r>
          </w:p>
          <w:p w14:paraId="2D290F80" w14:textId="77777777" w:rsidR="00865DE2" w:rsidRDefault="00BC02DF" w:rsidP="001A63D9">
            <w:pPr>
              <w:spacing w:after="0" w:line="240" w:lineRule="auto"/>
              <w:rPr>
                <w:rFonts w:ascii="Garamond" w:eastAsia="Times New Roman" w:hAnsi="Garamond" w:cs="Times New Roman"/>
                <w:lang w:eastAsia="fr-FR"/>
              </w:rPr>
            </w:pPr>
            <w:r w:rsidRPr="00C20B08">
              <w:rPr>
                <w:rFonts w:ascii="Garamond" w:eastAsia="Times New Roman" w:hAnsi="Garamond" w:cs="Times New Roman"/>
                <w:lang w:eastAsia="fr-FR"/>
              </w:rPr>
              <w:t>1065</w:t>
            </w:r>
            <w:r w:rsidR="00865DE2">
              <w:rPr>
                <w:rFonts w:ascii="Garamond" w:eastAsia="Times New Roman" w:hAnsi="Garamond" w:cs="Times New Roman"/>
                <w:lang w:eastAsia="fr-FR"/>
              </w:rPr>
              <w:t>, réserve du fond de gestion</w:t>
            </w:r>
          </w:p>
          <w:p w14:paraId="2CC57B37" w14:textId="4D8CC5BD" w:rsidR="00865DE2" w:rsidRPr="00865DE2" w:rsidRDefault="00BC02DF">
            <w:pPr>
              <w:spacing w:after="0" w:line="240" w:lineRule="auto"/>
              <w:rPr>
                <w:rFonts w:ascii="Garamond" w:eastAsia="Times New Roman" w:hAnsi="Garamond" w:cs="Times New Roman"/>
                <w:b/>
                <w:bCs/>
                <w:lang w:eastAsia="fr-FR"/>
              </w:rPr>
            </w:pPr>
            <w:r w:rsidRPr="00C20B08">
              <w:rPr>
                <w:rFonts w:ascii="Garamond" w:eastAsia="Times New Roman" w:hAnsi="Garamond" w:cs="Times New Roman"/>
                <w:lang w:eastAsia="fr-FR"/>
              </w:rPr>
              <w:t>1066</w:t>
            </w:r>
            <w:r w:rsidR="00865DE2">
              <w:rPr>
                <w:rFonts w:ascii="Garamond" w:eastAsia="Times New Roman" w:hAnsi="Garamond" w:cs="Times New Roman"/>
                <w:lang w:eastAsia="fr-FR"/>
              </w:rPr>
              <w:t>, réserve du fond social</w:t>
            </w:r>
          </w:p>
        </w:tc>
      </w:tr>
      <w:tr w:rsidR="00BC02DF" w:rsidRPr="00C20B08" w14:paraId="40719BCC" w14:textId="77777777" w:rsidTr="00A05A3A">
        <w:trPr>
          <w:trHeight w:val="1200"/>
        </w:trPr>
        <w:tc>
          <w:tcPr>
            <w:tcW w:w="2709" w:type="dxa"/>
            <w:tcBorders>
              <w:top w:val="nil"/>
              <w:left w:val="single" w:sz="4" w:space="0" w:color="auto"/>
              <w:bottom w:val="single" w:sz="4" w:space="0" w:color="auto"/>
              <w:right w:val="single" w:sz="4" w:space="0" w:color="auto"/>
            </w:tcBorders>
            <w:shd w:val="clear" w:color="auto" w:fill="auto"/>
            <w:vAlign w:val="center"/>
            <w:hideMark/>
          </w:tcPr>
          <w:p w14:paraId="48BAD361" w14:textId="2F76A43E" w:rsidR="00BC02DF" w:rsidRPr="00C20B08" w:rsidRDefault="006008A3" w:rsidP="00D5220C">
            <w:pPr>
              <w:spacing w:after="0" w:line="240" w:lineRule="auto"/>
              <w:jc w:val="center"/>
              <w:rPr>
                <w:rFonts w:ascii="Garamond" w:eastAsia="Times New Roman" w:hAnsi="Garamond" w:cs="Times New Roman"/>
                <w:lang w:eastAsia="fr-FR"/>
              </w:rPr>
            </w:pPr>
            <w:r w:rsidRPr="006008A3">
              <w:rPr>
                <w:rFonts w:ascii="Garamond" w:eastAsia="Times New Roman" w:hAnsi="Garamond" w:cs="Times New Roman"/>
                <w:lang w:eastAsia="fr-FR"/>
              </w:rPr>
              <w:t>Dont autres réserves distribuables (hors report à nouveau et résultat de l’exercice)</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424C00F0" w14:textId="77777777" w:rsidR="00BC02DF" w:rsidRPr="00C20B08" w:rsidRDefault="00BC02DF" w:rsidP="001A63D9">
            <w:pPr>
              <w:spacing w:after="0" w:line="240" w:lineRule="auto"/>
              <w:jc w:val="center"/>
              <w:rPr>
                <w:rFonts w:ascii="Garamond" w:eastAsia="Times New Roman" w:hAnsi="Garamond" w:cs="Times New Roman"/>
                <w:lang w:eastAsia="fr-FR"/>
              </w:rPr>
            </w:pPr>
            <w:r w:rsidRPr="00C20B08">
              <w:rPr>
                <w:rFonts w:ascii="Garamond" w:eastAsia="Times New Roman" w:hAnsi="Garamond" w:cs="Times New Roman"/>
                <w:lang w:eastAsia="fr-FR"/>
              </w:rPr>
              <w:t>R0360</w:t>
            </w:r>
          </w:p>
        </w:tc>
        <w:tc>
          <w:tcPr>
            <w:tcW w:w="5528" w:type="dxa"/>
            <w:tcBorders>
              <w:top w:val="nil"/>
              <w:left w:val="single" w:sz="4" w:space="0" w:color="auto"/>
              <w:bottom w:val="single" w:sz="4" w:space="0" w:color="auto"/>
              <w:right w:val="single" w:sz="4" w:space="0" w:color="auto"/>
            </w:tcBorders>
          </w:tcPr>
          <w:p w14:paraId="78CCC2B6" w14:textId="1D56417D" w:rsidR="00BC02DF" w:rsidRPr="00C20B08" w:rsidRDefault="00BC02DF" w:rsidP="001A63D9">
            <w:pPr>
              <w:spacing w:after="0" w:line="240" w:lineRule="auto"/>
              <w:rPr>
                <w:rFonts w:ascii="Garamond" w:eastAsia="Times New Roman" w:hAnsi="Garamond" w:cs="Times New Roman"/>
                <w:lang w:eastAsia="fr-FR"/>
              </w:rPr>
            </w:pPr>
            <w:r w:rsidRPr="00C20B08">
              <w:rPr>
                <w:rFonts w:ascii="Garamond" w:eastAsia="Times New Roman" w:hAnsi="Garamond" w:cs="Times New Roman"/>
                <w:lang w:eastAsia="fr-FR"/>
              </w:rPr>
              <w:t xml:space="preserve">Autres réserves </w:t>
            </w:r>
            <w:r w:rsidR="006008A3">
              <w:rPr>
                <w:rFonts w:ascii="Garamond" w:eastAsia="Times New Roman" w:hAnsi="Garamond" w:cs="Times New Roman"/>
                <w:lang w:eastAsia="fr-FR"/>
              </w:rPr>
              <w:t xml:space="preserve">distribuables </w:t>
            </w:r>
            <w:r w:rsidR="006008A3">
              <w:rPr>
                <w:rFonts w:ascii="Garamond" w:eastAsia="Times New Roman" w:hAnsi="Garamond" w:cs="Times New Roman"/>
                <w:bCs/>
                <w:lang w:eastAsia="fr-FR"/>
              </w:rPr>
              <w:t>(tel que défini à l’article 16(2) de la directive IORP)</w:t>
            </w:r>
            <w:r w:rsidR="006008A3" w:rsidRPr="00C20B08">
              <w:rPr>
                <w:rFonts w:ascii="Garamond" w:eastAsia="Times New Roman" w:hAnsi="Garamond" w:cs="Times New Roman"/>
                <w:bCs/>
                <w:lang w:eastAsia="fr-FR"/>
              </w:rPr>
              <w:t>,</w:t>
            </w:r>
            <w:r w:rsidRPr="00C20B08">
              <w:rPr>
                <w:rFonts w:ascii="Garamond" w:eastAsia="Times New Roman" w:hAnsi="Garamond" w:cs="Times New Roman"/>
                <w:lang w:eastAsia="fr-FR"/>
              </w:rPr>
              <w:t xml:space="preserve"> ne relevant pas des catégories listées en R0350, dont </w:t>
            </w:r>
          </w:p>
          <w:p w14:paraId="6256C3EA" w14:textId="46D2D599" w:rsidR="00BC02DF" w:rsidRPr="00C20B08" w:rsidRDefault="00BC02DF" w:rsidP="001A63D9">
            <w:pPr>
              <w:pStyle w:val="Paragraphedeliste"/>
              <w:numPr>
                <w:ilvl w:val="0"/>
                <w:numId w:val="15"/>
              </w:numPr>
              <w:spacing w:after="0" w:line="240" w:lineRule="auto"/>
              <w:rPr>
                <w:rFonts w:ascii="Garamond" w:eastAsia="Times New Roman" w:hAnsi="Garamond" w:cs="Times New Roman"/>
                <w:lang w:eastAsia="fr-FR"/>
              </w:rPr>
            </w:pPr>
            <w:r w:rsidRPr="00C20B08">
              <w:rPr>
                <w:rFonts w:ascii="Garamond" w:eastAsia="Times New Roman" w:hAnsi="Garamond" w:cs="Times New Roman"/>
                <w:lang w:eastAsia="fr-FR"/>
              </w:rPr>
              <w:t>La réserve de capitalisation (10645)</w:t>
            </w:r>
            <w:r w:rsidRPr="00C20B08">
              <w:rPr>
                <w:rFonts w:ascii="Garamond" w:hAnsi="Garamond"/>
              </w:rPr>
              <w:t xml:space="preserve"> </w:t>
            </w:r>
            <w:r w:rsidRPr="00C20B08">
              <w:rPr>
                <w:rFonts w:ascii="Garamond" w:eastAsia="Times New Roman" w:hAnsi="Garamond" w:cs="Times New Roman"/>
                <w:lang w:eastAsia="fr-FR"/>
              </w:rPr>
              <w:t>mentionnée à l'article R.385-1 (I) (2°) du code des assurances)</w:t>
            </w:r>
          </w:p>
          <w:p w14:paraId="753D018E" w14:textId="5CC754D2" w:rsidR="00BC02DF" w:rsidRPr="00C20B08" w:rsidRDefault="001875B3" w:rsidP="001875B3">
            <w:pPr>
              <w:pStyle w:val="Paragraphedeliste"/>
              <w:numPr>
                <w:ilvl w:val="0"/>
                <w:numId w:val="15"/>
              </w:numPr>
              <w:spacing w:after="0" w:line="240" w:lineRule="auto"/>
              <w:rPr>
                <w:lang w:eastAsia="fr-FR"/>
              </w:rPr>
            </w:pPr>
            <w:r w:rsidRPr="001875B3">
              <w:rPr>
                <w:lang w:eastAsia="fr-FR"/>
              </w:rPr>
              <w:t>les réserves comptabilisées dans le compte 1068.</w:t>
            </w:r>
          </w:p>
        </w:tc>
      </w:tr>
      <w:tr w:rsidR="00BC02DF" w:rsidRPr="00C20B08" w14:paraId="786E7057" w14:textId="77777777" w:rsidTr="00B6067C">
        <w:trPr>
          <w:trHeight w:val="600"/>
        </w:trPr>
        <w:tc>
          <w:tcPr>
            <w:tcW w:w="2709" w:type="dxa"/>
            <w:tcBorders>
              <w:top w:val="nil"/>
              <w:left w:val="single" w:sz="4" w:space="0" w:color="auto"/>
              <w:bottom w:val="single" w:sz="4" w:space="0" w:color="auto"/>
              <w:right w:val="single" w:sz="4" w:space="0" w:color="auto"/>
            </w:tcBorders>
            <w:shd w:val="clear" w:color="auto" w:fill="auto"/>
            <w:vAlign w:val="center"/>
            <w:hideMark/>
          </w:tcPr>
          <w:p w14:paraId="6172BAA6" w14:textId="1478CD8E" w:rsidR="00BC02DF" w:rsidRPr="00C20B08" w:rsidRDefault="006008A3" w:rsidP="00D5220C">
            <w:pPr>
              <w:spacing w:after="0" w:line="240" w:lineRule="auto"/>
              <w:jc w:val="center"/>
              <w:rPr>
                <w:rFonts w:ascii="Garamond" w:eastAsia="Times New Roman" w:hAnsi="Garamond" w:cs="Times New Roman"/>
                <w:b/>
                <w:bCs/>
                <w:lang w:eastAsia="fr-FR"/>
              </w:rPr>
            </w:pPr>
            <w:r w:rsidRPr="006008A3">
              <w:rPr>
                <w:rFonts w:ascii="Garamond" w:eastAsia="Times New Roman" w:hAnsi="Garamond" w:cs="Times New Roman"/>
                <w:b/>
                <w:bCs/>
                <w:lang w:eastAsia="fr-FR"/>
              </w:rPr>
              <w:t>Dont report à nouveau, résultat de l’exercice et plus-values latentes admissibles en couverture de l’exigence de marge</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096F4E78" w14:textId="77777777" w:rsidR="00BC02DF" w:rsidRPr="00C20B08" w:rsidRDefault="00BC02DF" w:rsidP="001A63D9">
            <w:pPr>
              <w:spacing w:after="0" w:line="240" w:lineRule="auto"/>
              <w:jc w:val="center"/>
              <w:rPr>
                <w:rFonts w:ascii="Garamond" w:eastAsia="Times New Roman" w:hAnsi="Garamond" w:cs="Times New Roman"/>
                <w:lang w:eastAsia="fr-FR"/>
              </w:rPr>
            </w:pPr>
            <w:r w:rsidRPr="00C20B08">
              <w:rPr>
                <w:rFonts w:ascii="Garamond" w:eastAsia="Times New Roman" w:hAnsi="Garamond" w:cs="Times New Roman"/>
                <w:lang w:eastAsia="fr-FR"/>
              </w:rPr>
              <w:t>R0370</w:t>
            </w:r>
          </w:p>
        </w:tc>
        <w:tc>
          <w:tcPr>
            <w:tcW w:w="5528" w:type="dxa"/>
            <w:tcBorders>
              <w:top w:val="nil"/>
              <w:left w:val="single" w:sz="4" w:space="0" w:color="auto"/>
              <w:bottom w:val="single" w:sz="4" w:space="0" w:color="auto"/>
              <w:right w:val="single" w:sz="4" w:space="0" w:color="auto"/>
            </w:tcBorders>
          </w:tcPr>
          <w:p w14:paraId="0E22151C" w14:textId="1A03CD63" w:rsidR="00BC02DF" w:rsidRPr="00C20B08" w:rsidRDefault="00BC02DF" w:rsidP="001A63D9">
            <w:pPr>
              <w:spacing w:after="0" w:line="240" w:lineRule="auto"/>
              <w:rPr>
                <w:rFonts w:ascii="Garamond" w:eastAsia="Times New Roman" w:hAnsi="Garamond" w:cs="Times New Roman"/>
                <w:lang w:eastAsia="fr-FR"/>
              </w:rPr>
            </w:pPr>
            <w:r w:rsidRPr="00C20B08">
              <w:rPr>
                <w:rFonts w:ascii="Garamond" w:eastAsia="Times New Roman" w:hAnsi="Garamond" w:cs="Times New Roman"/>
                <w:lang w:eastAsia="fr-FR"/>
              </w:rPr>
              <w:t>Classe 11- Report à nouveau</w:t>
            </w:r>
          </w:p>
          <w:p w14:paraId="4C907989" w14:textId="12420E87" w:rsidR="00BC02DF" w:rsidRPr="00C20B08" w:rsidRDefault="00BC02DF" w:rsidP="001A63D9">
            <w:pPr>
              <w:spacing w:after="0" w:line="240" w:lineRule="auto"/>
              <w:rPr>
                <w:rFonts w:ascii="Garamond" w:eastAsia="Times New Roman" w:hAnsi="Garamond" w:cs="Times New Roman"/>
                <w:lang w:eastAsia="fr-FR"/>
              </w:rPr>
            </w:pPr>
            <w:r w:rsidRPr="00C20B08">
              <w:rPr>
                <w:rFonts w:ascii="Garamond" w:eastAsia="Times New Roman" w:hAnsi="Garamond" w:cs="Times New Roman"/>
                <w:lang w:eastAsia="fr-FR"/>
              </w:rPr>
              <w:t xml:space="preserve">Classe 12 </w:t>
            </w:r>
            <w:r w:rsidR="008D4D8A">
              <w:rPr>
                <w:rFonts w:ascii="Garamond" w:eastAsia="Times New Roman" w:hAnsi="Garamond" w:cs="Times New Roman"/>
                <w:lang w:eastAsia="fr-FR"/>
              </w:rPr>
              <w:t>-</w:t>
            </w:r>
            <w:r w:rsidRPr="00C20B08">
              <w:rPr>
                <w:rFonts w:ascii="Garamond" w:eastAsia="Times New Roman" w:hAnsi="Garamond" w:cs="Times New Roman"/>
                <w:lang w:eastAsia="fr-FR"/>
              </w:rPr>
              <w:t xml:space="preserve"> Résultat de l’exercice précédent</w:t>
            </w:r>
          </w:p>
          <w:p w14:paraId="5D93569B" w14:textId="17D77AEB" w:rsidR="00BC02DF" w:rsidRPr="00C20B08" w:rsidRDefault="00BC02DF" w:rsidP="001A63D9">
            <w:pPr>
              <w:spacing w:after="0" w:line="240" w:lineRule="auto"/>
              <w:rPr>
                <w:rFonts w:ascii="Garamond" w:eastAsia="Times New Roman" w:hAnsi="Garamond" w:cs="Times New Roman"/>
                <w:lang w:eastAsia="fr-FR"/>
              </w:rPr>
            </w:pPr>
            <w:r w:rsidRPr="00C20B08">
              <w:rPr>
                <w:rFonts w:ascii="Garamond" w:eastAsia="Times New Roman" w:hAnsi="Garamond" w:cs="Times New Roman"/>
                <w:lang w:eastAsia="fr-FR"/>
              </w:rPr>
              <w:t xml:space="preserve">Classe 13 </w:t>
            </w:r>
            <w:r w:rsidR="008D4D8A">
              <w:rPr>
                <w:rFonts w:ascii="Garamond" w:eastAsia="Times New Roman" w:hAnsi="Garamond" w:cs="Times New Roman"/>
                <w:lang w:eastAsia="fr-FR"/>
              </w:rPr>
              <w:t>-</w:t>
            </w:r>
            <w:r w:rsidRPr="00C20B08">
              <w:rPr>
                <w:rFonts w:ascii="Garamond" w:eastAsia="Times New Roman" w:hAnsi="Garamond" w:cs="Times New Roman"/>
                <w:lang w:eastAsia="fr-FR"/>
              </w:rPr>
              <w:t xml:space="preserve"> Subventions d’équipement et autres subventions d’investissement</w:t>
            </w:r>
          </w:p>
        </w:tc>
      </w:tr>
    </w:tbl>
    <w:p w14:paraId="3FD8B95C" w14:textId="77777777" w:rsidR="00BC02DF" w:rsidRDefault="00BC02DF" w:rsidP="00BC02DF">
      <w:pPr>
        <w:rPr>
          <w:rFonts w:ascii="Garamond" w:hAnsi="Garamond"/>
        </w:rPr>
      </w:pPr>
    </w:p>
    <w:p w14:paraId="784BCCB8" w14:textId="77777777" w:rsidR="004E6A60" w:rsidRPr="00E925BB" w:rsidRDefault="004E6A60" w:rsidP="004E6A60">
      <w:pPr>
        <w:pStyle w:val="Titre2"/>
      </w:pPr>
      <w:r w:rsidRPr="00E925BB">
        <w:t>PFE.02.01.30.02</w:t>
      </w:r>
    </w:p>
    <w:p w14:paraId="0EF9A7EE" w14:textId="77777777" w:rsidR="004E6A60" w:rsidRPr="00430906" w:rsidRDefault="004E6A60" w:rsidP="004E6A60">
      <w:pPr>
        <w:pStyle w:val="Titre2"/>
      </w:pPr>
      <w:r w:rsidRPr="00430906">
        <w:t xml:space="preserve">Bilan avec </w:t>
      </w:r>
      <w:r w:rsidR="00A83431">
        <w:t>autres changements de volume</w:t>
      </w:r>
      <w:r w:rsidR="00430906" w:rsidRPr="00430906">
        <w:t xml:space="preserve"> (</w:t>
      </w:r>
      <w:proofErr w:type="spellStart"/>
      <w:r w:rsidR="00430906" w:rsidRPr="00430906">
        <w:t>add</w:t>
      </w:r>
      <w:proofErr w:type="spellEnd"/>
      <w:r w:rsidR="00430906" w:rsidRPr="00430906">
        <w:t xml:space="preserve"> on BCE)</w:t>
      </w:r>
    </w:p>
    <w:p w14:paraId="1AAC1D52" w14:textId="77777777" w:rsidR="00BC02DF" w:rsidRPr="00430906" w:rsidRDefault="00BC02DF" w:rsidP="00BC02DF">
      <w:pPr>
        <w:spacing w:after="0" w:line="240" w:lineRule="auto"/>
        <w:jc w:val="center"/>
        <w:rPr>
          <w:rFonts w:ascii="Garamond" w:eastAsia="Times New Roman" w:hAnsi="Garamond" w:cs="Times New Roman"/>
          <w:b/>
          <w:color w:val="003B8E"/>
          <w:lang w:eastAsia="fr-FR"/>
        </w:rPr>
      </w:pPr>
    </w:p>
    <w:p w14:paraId="57ED8DAE" w14:textId="77777777" w:rsidR="003201BA" w:rsidRPr="00E925BB" w:rsidRDefault="003201BA" w:rsidP="003201BA">
      <w:pPr>
        <w:pStyle w:val="Paragraphedeliste1"/>
        <w:ind w:left="0" w:firstLine="708"/>
        <w:rPr>
          <w:rFonts w:ascii="Garamond" w:hAnsi="Garamond"/>
          <w:b/>
          <w:szCs w:val="22"/>
        </w:rPr>
      </w:pPr>
      <w:r w:rsidRPr="00E925BB">
        <w:rPr>
          <w:rFonts w:ascii="Garamond" w:hAnsi="Garamond"/>
          <w:b/>
          <w:szCs w:val="22"/>
        </w:rPr>
        <w:t>EC0041</w:t>
      </w:r>
    </w:p>
    <w:p w14:paraId="4F614392" w14:textId="77777777" w:rsidR="003201BA" w:rsidRPr="00430906" w:rsidRDefault="00EF4367" w:rsidP="003201BA">
      <w:pPr>
        <w:pStyle w:val="Paragraphedeliste1"/>
        <w:ind w:left="0" w:firstLine="708"/>
        <w:rPr>
          <w:rFonts w:ascii="Garamond" w:hAnsi="Garamond"/>
          <w:b/>
          <w:szCs w:val="22"/>
        </w:rPr>
      </w:pPr>
      <w:r w:rsidRPr="00DE7F8E">
        <w:rPr>
          <w:rFonts w:ascii="Garamond" w:hAnsi="Garamond"/>
          <w:b/>
          <w:szCs w:val="22"/>
        </w:rPr>
        <w:t>Autres changements de volume</w:t>
      </w:r>
    </w:p>
    <w:p w14:paraId="616A1F70" w14:textId="77777777" w:rsidR="003201BA" w:rsidRPr="00430906" w:rsidRDefault="003201BA" w:rsidP="003201BA">
      <w:pPr>
        <w:pStyle w:val="Paragraphedeliste1"/>
        <w:ind w:left="0" w:firstLine="708"/>
        <w:rPr>
          <w:rFonts w:ascii="Garamond" w:hAnsi="Garamond"/>
          <w:szCs w:val="22"/>
        </w:rPr>
      </w:pPr>
    </w:p>
    <w:p w14:paraId="3F44FF01" w14:textId="77777777" w:rsidR="001A63D9" w:rsidRPr="000F346B" w:rsidRDefault="001A63D9" w:rsidP="001A63D9">
      <w:pPr>
        <w:pStyle w:val="Paragraphedeliste1"/>
        <w:ind w:left="0" w:firstLine="708"/>
        <w:rPr>
          <w:rFonts w:ascii="Garamond" w:hAnsi="Garamond"/>
          <w:szCs w:val="22"/>
        </w:rPr>
      </w:pPr>
      <w:r w:rsidRPr="00430906">
        <w:rPr>
          <w:rFonts w:ascii="Garamond" w:hAnsi="Garamond"/>
          <w:szCs w:val="22"/>
        </w:rPr>
        <w:t>Colonne EC0041:</w:t>
      </w:r>
      <w:r>
        <w:rPr>
          <w:rFonts w:ascii="Garamond" w:hAnsi="Garamond"/>
          <w:szCs w:val="22"/>
        </w:rPr>
        <w:t xml:space="preserve"> </w:t>
      </w:r>
      <w:r w:rsidRPr="000F346B">
        <w:rPr>
          <w:rFonts w:ascii="Garamond" w:hAnsi="Garamond"/>
          <w:szCs w:val="22"/>
        </w:rPr>
        <w:t>Dans l’idéal, les corrections de données erronées (</w:t>
      </w:r>
      <w:proofErr w:type="spellStart"/>
      <w:r w:rsidRPr="000F346B">
        <w:rPr>
          <w:rFonts w:ascii="Garamond" w:hAnsi="Garamond"/>
          <w:szCs w:val="22"/>
        </w:rPr>
        <w:t>re-soumissions</w:t>
      </w:r>
      <w:proofErr w:type="spellEnd"/>
      <w:r w:rsidRPr="000F346B">
        <w:rPr>
          <w:rFonts w:ascii="Garamond" w:hAnsi="Garamond"/>
          <w:szCs w:val="22"/>
        </w:rPr>
        <w:t xml:space="preserve">) devront être </w:t>
      </w:r>
      <w:r>
        <w:rPr>
          <w:rFonts w:ascii="Garamond" w:hAnsi="Garamond"/>
          <w:szCs w:val="22"/>
        </w:rPr>
        <w:t>retransmises</w:t>
      </w:r>
      <w:r w:rsidRPr="000F346B">
        <w:rPr>
          <w:rFonts w:ascii="Garamond" w:hAnsi="Garamond"/>
          <w:szCs w:val="22"/>
        </w:rPr>
        <w:t> ; si cela n’est pas possible, des autres changements de volume</w:t>
      </w:r>
      <w:r>
        <w:rPr>
          <w:rStyle w:val="Appelnotedebasdep"/>
          <w:rFonts w:ascii="Garamond" w:hAnsi="Garamond"/>
          <w:szCs w:val="22"/>
        </w:rPr>
        <w:footnoteReference w:id="1"/>
      </w:r>
      <w:r w:rsidRPr="000F346B">
        <w:rPr>
          <w:rFonts w:ascii="Garamond" w:hAnsi="Garamond"/>
          <w:szCs w:val="22"/>
        </w:rPr>
        <w:t xml:space="preserve"> peuvent être soumis à la place.</w:t>
      </w:r>
    </w:p>
    <w:p w14:paraId="54F791BE" w14:textId="77777777" w:rsidR="001A63D9" w:rsidRPr="000F346B" w:rsidRDefault="001A63D9" w:rsidP="001A63D9">
      <w:pPr>
        <w:pStyle w:val="Paragraphedeliste1"/>
        <w:ind w:left="0" w:firstLine="708"/>
        <w:rPr>
          <w:rFonts w:ascii="Garamond" w:hAnsi="Garamond"/>
          <w:szCs w:val="22"/>
        </w:rPr>
      </w:pPr>
    </w:p>
    <w:p w14:paraId="389F11B2" w14:textId="77777777" w:rsidR="001A63D9" w:rsidRDefault="001A63D9" w:rsidP="001A63D9">
      <w:pPr>
        <w:pStyle w:val="Paragraphedeliste1"/>
        <w:ind w:left="0" w:firstLine="708"/>
        <w:rPr>
          <w:rFonts w:ascii="Garamond" w:hAnsi="Garamond"/>
          <w:szCs w:val="22"/>
        </w:rPr>
      </w:pPr>
      <w:r w:rsidRPr="000F346B">
        <w:rPr>
          <w:rFonts w:ascii="Garamond" w:hAnsi="Garamond"/>
          <w:szCs w:val="22"/>
        </w:rPr>
        <w:t>La colonne des « autres changements de volume » (EC0041) doit inclure toute modification de valeur (par rapport à la période précédente) qui résulte d’erreurs de déclaration. S’il n’y a aucune erreur de déclaration, les cellules resteront vides.</w:t>
      </w:r>
    </w:p>
    <w:p w14:paraId="4976B42D" w14:textId="77777777" w:rsidR="001A63D9" w:rsidRPr="000F346B" w:rsidRDefault="001A63D9" w:rsidP="001A63D9">
      <w:pPr>
        <w:pStyle w:val="Paragraphedeliste1"/>
        <w:ind w:left="0" w:firstLine="708"/>
        <w:rPr>
          <w:rFonts w:ascii="Garamond" w:hAnsi="Garamond"/>
          <w:szCs w:val="22"/>
        </w:rPr>
      </w:pPr>
    </w:p>
    <w:p w14:paraId="69EB0C5E" w14:textId="77777777" w:rsidR="001A63D9" w:rsidRDefault="001A63D9" w:rsidP="001A63D9">
      <w:pPr>
        <w:pStyle w:val="Paragraphedeliste1"/>
        <w:ind w:left="0" w:firstLine="708"/>
        <w:rPr>
          <w:rFonts w:ascii="Garamond" w:hAnsi="Garamond"/>
          <w:szCs w:val="22"/>
        </w:rPr>
      </w:pPr>
      <w:r w:rsidRPr="000F346B">
        <w:rPr>
          <w:rFonts w:ascii="Garamond" w:hAnsi="Garamond"/>
          <w:szCs w:val="22"/>
        </w:rPr>
        <w:t>Tout autre changement de volume doit être enregistré au moins deux fois dans PFE.02.01.</w:t>
      </w:r>
    </w:p>
    <w:p w14:paraId="7946732C" w14:textId="77777777" w:rsidR="001A63D9" w:rsidRPr="000F346B" w:rsidRDefault="001A63D9" w:rsidP="001A63D9">
      <w:pPr>
        <w:pStyle w:val="Paragraphedeliste1"/>
        <w:ind w:left="0" w:firstLine="708"/>
        <w:rPr>
          <w:rFonts w:ascii="Garamond" w:hAnsi="Garamond"/>
          <w:szCs w:val="22"/>
        </w:rPr>
      </w:pPr>
    </w:p>
    <w:p w14:paraId="1EBD56F2" w14:textId="41453D1D" w:rsidR="001A63D9" w:rsidRDefault="001A63D9" w:rsidP="001A63D9">
      <w:pPr>
        <w:pStyle w:val="Paragraphedeliste1"/>
        <w:ind w:left="0" w:firstLine="708"/>
        <w:rPr>
          <w:rFonts w:ascii="Garamond" w:hAnsi="Garamond"/>
          <w:szCs w:val="22"/>
        </w:rPr>
      </w:pPr>
      <w:r w:rsidRPr="000F346B">
        <w:rPr>
          <w:rFonts w:ascii="Garamond" w:hAnsi="Garamond"/>
          <w:szCs w:val="22"/>
        </w:rPr>
        <w:t xml:space="preserve">Il existe deux </w:t>
      </w:r>
      <w:r>
        <w:rPr>
          <w:rFonts w:ascii="Garamond" w:hAnsi="Garamond"/>
          <w:szCs w:val="22"/>
        </w:rPr>
        <w:t xml:space="preserve">autres </w:t>
      </w:r>
      <w:r w:rsidRPr="000F346B">
        <w:rPr>
          <w:rFonts w:ascii="Garamond" w:hAnsi="Garamond"/>
          <w:szCs w:val="22"/>
        </w:rPr>
        <w:t xml:space="preserve">types </w:t>
      </w:r>
      <w:r>
        <w:rPr>
          <w:rFonts w:ascii="Garamond" w:hAnsi="Garamond"/>
          <w:szCs w:val="22"/>
        </w:rPr>
        <w:t xml:space="preserve">de </w:t>
      </w:r>
      <w:r w:rsidRPr="000F346B">
        <w:rPr>
          <w:rFonts w:ascii="Garamond" w:hAnsi="Garamond"/>
          <w:szCs w:val="22"/>
        </w:rPr>
        <w:t xml:space="preserve">changements de volume : (i) </w:t>
      </w:r>
      <w:r>
        <w:rPr>
          <w:rFonts w:ascii="Garamond" w:hAnsi="Garamond"/>
          <w:szCs w:val="22"/>
        </w:rPr>
        <w:t>lorsque</w:t>
      </w:r>
      <w:r w:rsidRPr="000F346B">
        <w:rPr>
          <w:rFonts w:ascii="Garamond" w:hAnsi="Garamond"/>
          <w:szCs w:val="22"/>
        </w:rPr>
        <w:t xml:space="preserve"> l’instrument financier a été mal classé </w:t>
      </w:r>
      <w:r>
        <w:rPr>
          <w:rFonts w:ascii="Garamond" w:hAnsi="Garamond"/>
          <w:szCs w:val="22"/>
        </w:rPr>
        <w:t>(</w:t>
      </w:r>
      <w:r w:rsidR="00D34320">
        <w:rPr>
          <w:rFonts w:ascii="Garamond" w:hAnsi="Garamond"/>
          <w:szCs w:val="22"/>
        </w:rPr>
        <w:t>laissant l’actif total et le passif total inchangé</w:t>
      </w:r>
      <w:r w:rsidR="008D2EC3">
        <w:rPr>
          <w:rFonts w:ascii="Garamond" w:hAnsi="Garamond"/>
          <w:szCs w:val="22"/>
        </w:rPr>
        <w:t>s</w:t>
      </w:r>
      <w:r>
        <w:rPr>
          <w:rFonts w:ascii="Garamond" w:hAnsi="Garamond"/>
          <w:szCs w:val="22"/>
        </w:rPr>
        <w:t>)</w:t>
      </w:r>
      <w:r w:rsidRPr="000F346B">
        <w:rPr>
          <w:rFonts w:ascii="Garamond" w:hAnsi="Garamond"/>
          <w:szCs w:val="22"/>
        </w:rPr>
        <w:t xml:space="preserve"> ; et (ii) </w:t>
      </w:r>
      <w:r>
        <w:rPr>
          <w:rFonts w:ascii="Garamond" w:hAnsi="Garamond"/>
          <w:szCs w:val="22"/>
        </w:rPr>
        <w:t>lorsque</w:t>
      </w:r>
      <w:r w:rsidRPr="000F346B">
        <w:rPr>
          <w:rFonts w:ascii="Garamond" w:hAnsi="Garamond"/>
          <w:szCs w:val="22"/>
        </w:rPr>
        <w:t xml:space="preserve"> la valeur d’un poste du bilan change.</w:t>
      </w:r>
    </w:p>
    <w:p w14:paraId="60BD5469" w14:textId="77777777" w:rsidR="001A63D9" w:rsidRPr="000F346B" w:rsidRDefault="001A63D9" w:rsidP="001A63D9">
      <w:pPr>
        <w:pStyle w:val="Paragraphedeliste1"/>
        <w:ind w:left="0" w:firstLine="708"/>
        <w:rPr>
          <w:rFonts w:ascii="Garamond" w:hAnsi="Garamond"/>
          <w:szCs w:val="22"/>
        </w:rPr>
      </w:pPr>
    </w:p>
    <w:p w14:paraId="5A5C1975" w14:textId="77777777" w:rsidR="001A63D9" w:rsidRDefault="001A63D9" w:rsidP="001A63D9">
      <w:pPr>
        <w:pStyle w:val="Paragraphedeliste1"/>
        <w:ind w:left="0" w:firstLine="708"/>
        <w:rPr>
          <w:rFonts w:ascii="Garamond" w:hAnsi="Garamond"/>
          <w:szCs w:val="22"/>
        </w:rPr>
      </w:pPr>
      <w:r w:rsidRPr="000F346B">
        <w:rPr>
          <w:rFonts w:ascii="Garamond" w:hAnsi="Garamond"/>
          <w:szCs w:val="22"/>
        </w:rPr>
        <w:t xml:space="preserve">Dans le premier cas, un instrument financier a été attribué </w:t>
      </w:r>
      <w:r>
        <w:rPr>
          <w:rFonts w:ascii="Garamond" w:hAnsi="Garamond"/>
          <w:szCs w:val="22"/>
        </w:rPr>
        <w:t>de façon erronée</w:t>
      </w:r>
      <w:r w:rsidRPr="000F346B">
        <w:rPr>
          <w:rFonts w:ascii="Garamond" w:hAnsi="Garamond"/>
          <w:szCs w:val="22"/>
        </w:rPr>
        <w:t xml:space="preserve"> à un poste</w:t>
      </w:r>
      <w:r>
        <w:rPr>
          <w:rFonts w:ascii="Garamond" w:hAnsi="Garamond"/>
          <w:szCs w:val="22"/>
        </w:rPr>
        <w:t xml:space="preserve"> donné</w:t>
      </w:r>
      <w:r w:rsidRPr="000F346B">
        <w:rPr>
          <w:rFonts w:ascii="Garamond" w:hAnsi="Garamond"/>
          <w:szCs w:val="22"/>
        </w:rPr>
        <w:t xml:space="preserve"> du bilan. Les actifs et passifs </w:t>
      </w:r>
      <w:r>
        <w:rPr>
          <w:rFonts w:ascii="Garamond" w:hAnsi="Garamond"/>
          <w:szCs w:val="22"/>
        </w:rPr>
        <w:t xml:space="preserve">totaux </w:t>
      </w:r>
      <w:r w:rsidRPr="000F346B">
        <w:rPr>
          <w:rFonts w:ascii="Garamond" w:hAnsi="Garamond"/>
          <w:szCs w:val="22"/>
        </w:rPr>
        <w:t>ne changent pas mais d</w:t>
      </w:r>
      <w:r>
        <w:rPr>
          <w:rFonts w:ascii="Garamond" w:hAnsi="Garamond"/>
          <w:szCs w:val="22"/>
        </w:rPr>
        <w:t>‘</w:t>
      </w:r>
      <w:r w:rsidRPr="000F346B">
        <w:rPr>
          <w:rFonts w:ascii="Garamond" w:hAnsi="Garamond"/>
          <w:szCs w:val="22"/>
        </w:rPr>
        <w:t>autres changements de volume sont nécessaires soit à l’actif soit au passi</w:t>
      </w:r>
      <w:r>
        <w:rPr>
          <w:rFonts w:ascii="Garamond" w:hAnsi="Garamond"/>
          <w:szCs w:val="22"/>
        </w:rPr>
        <w:t>f. Une valeur négative corrige un</w:t>
      </w:r>
      <w:r w:rsidRPr="000F346B">
        <w:rPr>
          <w:rFonts w:ascii="Garamond" w:hAnsi="Garamond"/>
          <w:szCs w:val="22"/>
        </w:rPr>
        <w:t xml:space="preserve"> montant qui a été incorrectement attribué </w:t>
      </w:r>
      <w:r>
        <w:rPr>
          <w:rFonts w:ascii="Garamond" w:hAnsi="Garamond"/>
          <w:szCs w:val="22"/>
        </w:rPr>
        <w:t xml:space="preserve">à un </w:t>
      </w:r>
      <w:r w:rsidRPr="000F346B">
        <w:rPr>
          <w:rFonts w:ascii="Garamond" w:hAnsi="Garamond"/>
          <w:szCs w:val="22"/>
        </w:rPr>
        <w:t>poste</w:t>
      </w:r>
      <w:r>
        <w:rPr>
          <w:rFonts w:ascii="Garamond" w:hAnsi="Garamond"/>
          <w:szCs w:val="22"/>
        </w:rPr>
        <w:t xml:space="preserve"> donné</w:t>
      </w:r>
      <w:r w:rsidRPr="000F346B">
        <w:rPr>
          <w:rFonts w:ascii="Garamond" w:hAnsi="Garamond"/>
          <w:szCs w:val="22"/>
        </w:rPr>
        <w:t xml:space="preserve"> du bilan, tandis qu’un</w:t>
      </w:r>
      <w:r>
        <w:rPr>
          <w:rFonts w:ascii="Garamond" w:hAnsi="Garamond"/>
          <w:szCs w:val="22"/>
        </w:rPr>
        <w:t>e valeur positive</w:t>
      </w:r>
      <w:r w:rsidRPr="000F346B">
        <w:rPr>
          <w:rFonts w:ascii="Garamond" w:hAnsi="Garamond"/>
          <w:szCs w:val="22"/>
        </w:rPr>
        <w:t xml:space="preserve"> corrige la valeur du poste du bilan auquel le montant aurait dû être attribué.</w:t>
      </w:r>
    </w:p>
    <w:p w14:paraId="1A498B20" w14:textId="77777777" w:rsidR="004E6A60" w:rsidRPr="001A63D9" w:rsidRDefault="004E6A60" w:rsidP="00CF71D5">
      <w:pPr>
        <w:spacing w:after="0" w:line="240" w:lineRule="auto"/>
        <w:rPr>
          <w:rFonts w:ascii="Garamond" w:eastAsia="Times New Roman" w:hAnsi="Garamond" w:cs="Times New Roman"/>
          <w:b/>
          <w:color w:val="003B8E"/>
          <w:sz w:val="28"/>
          <w:szCs w:val="28"/>
          <w:lang w:eastAsia="fr-FR"/>
        </w:rPr>
      </w:pPr>
    </w:p>
    <w:p w14:paraId="126B1A80" w14:textId="77777777" w:rsidR="00AC17CE" w:rsidRDefault="00AC17CE" w:rsidP="00E72750">
      <w:pPr>
        <w:pStyle w:val="Paragraphedeliste1"/>
        <w:ind w:left="0"/>
        <w:rPr>
          <w:rFonts w:ascii="Garamond" w:hAnsi="Garamond"/>
          <w:szCs w:val="22"/>
        </w:rPr>
      </w:pPr>
    </w:p>
    <w:p w14:paraId="31E46C1B" w14:textId="53160A6C" w:rsidR="001A63D9" w:rsidRDefault="001A63D9" w:rsidP="001A63D9">
      <w:pPr>
        <w:pStyle w:val="Paragraphedeliste1"/>
        <w:ind w:left="0" w:firstLine="708"/>
        <w:rPr>
          <w:rFonts w:ascii="Garamond" w:hAnsi="Garamond"/>
          <w:szCs w:val="22"/>
        </w:rPr>
      </w:pPr>
      <w:r w:rsidRPr="00DC33FC">
        <w:rPr>
          <w:rFonts w:ascii="Garamond" w:hAnsi="Garamond"/>
          <w:szCs w:val="22"/>
          <w:u w:val="single"/>
        </w:rPr>
        <w:t>Exemple, cas 1</w:t>
      </w:r>
      <w:r>
        <w:rPr>
          <w:rFonts w:ascii="Garamond" w:hAnsi="Garamond"/>
          <w:szCs w:val="22"/>
        </w:rPr>
        <w:t xml:space="preserve"> : </w:t>
      </w:r>
      <w:r w:rsidR="00D34320">
        <w:rPr>
          <w:rFonts w:ascii="Garamond" w:hAnsi="Garamond"/>
          <w:szCs w:val="22"/>
        </w:rPr>
        <w:t>U</w:t>
      </w:r>
      <w:r w:rsidRPr="00CF71D5">
        <w:rPr>
          <w:rFonts w:ascii="Garamond" w:hAnsi="Garamond"/>
          <w:szCs w:val="22"/>
        </w:rPr>
        <w:t>n</w:t>
      </w:r>
      <w:r>
        <w:rPr>
          <w:rFonts w:ascii="Garamond" w:hAnsi="Garamond"/>
          <w:szCs w:val="22"/>
        </w:rPr>
        <w:t>e</w:t>
      </w:r>
      <w:r w:rsidRPr="00CF71D5">
        <w:rPr>
          <w:rFonts w:ascii="Garamond" w:hAnsi="Garamond"/>
          <w:szCs w:val="22"/>
        </w:rPr>
        <w:t xml:space="preserve"> acti</w:t>
      </w:r>
      <w:r>
        <w:rPr>
          <w:rFonts w:ascii="Garamond" w:hAnsi="Garamond"/>
          <w:szCs w:val="22"/>
        </w:rPr>
        <w:t>on</w:t>
      </w:r>
      <w:r w:rsidRPr="00CF71D5">
        <w:rPr>
          <w:rFonts w:ascii="Garamond" w:hAnsi="Garamond"/>
          <w:szCs w:val="22"/>
        </w:rPr>
        <w:t xml:space="preserve"> c</w:t>
      </w:r>
      <w:r>
        <w:rPr>
          <w:rFonts w:ascii="Garamond" w:hAnsi="Garamond"/>
          <w:szCs w:val="22"/>
        </w:rPr>
        <w:t>o</w:t>
      </w:r>
      <w:r w:rsidRPr="00CF71D5">
        <w:rPr>
          <w:rFonts w:ascii="Garamond" w:hAnsi="Garamond"/>
          <w:szCs w:val="22"/>
        </w:rPr>
        <w:t>té</w:t>
      </w:r>
      <w:r>
        <w:rPr>
          <w:rFonts w:ascii="Garamond" w:hAnsi="Garamond"/>
          <w:szCs w:val="22"/>
        </w:rPr>
        <w:t>e d’une valeur de 100</w:t>
      </w:r>
      <w:r w:rsidRPr="00CF71D5">
        <w:rPr>
          <w:rFonts w:ascii="Garamond" w:hAnsi="Garamond"/>
          <w:szCs w:val="22"/>
        </w:rPr>
        <w:t xml:space="preserve"> </w:t>
      </w:r>
      <w:r>
        <w:rPr>
          <w:rFonts w:ascii="Garamond" w:hAnsi="Garamond"/>
          <w:szCs w:val="22"/>
        </w:rPr>
        <w:t xml:space="preserve">est </w:t>
      </w:r>
      <w:r w:rsidRPr="00CF71D5">
        <w:rPr>
          <w:rFonts w:ascii="Garamond" w:hAnsi="Garamond"/>
          <w:szCs w:val="22"/>
        </w:rPr>
        <w:t>classé</w:t>
      </w:r>
      <w:r>
        <w:rPr>
          <w:rFonts w:ascii="Garamond" w:hAnsi="Garamond"/>
          <w:szCs w:val="22"/>
        </w:rPr>
        <w:t>e</w:t>
      </w:r>
      <w:r w:rsidRPr="00CF71D5">
        <w:rPr>
          <w:rFonts w:ascii="Garamond" w:hAnsi="Garamond"/>
          <w:szCs w:val="22"/>
        </w:rPr>
        <w:t xml:space="preserve"> </w:t>
      </w:r>
      <w:r>
        <w:rPr>
          <w:rFonts w:ascii="Garamond" w:hAnsi="Garamond"/>
          <w:szCs w:val="22"/>
        </w:rPr>
        <w:t>de manière incorrecte comme une</w:t>
      </w:r>
      <w:r w:rsidRPr="00CF71D5">
        <w:rPr>
          <w:rFonts w:ascii="Garamond" w:hAnsi="Garamond"/>
          <w:szCs w:val="22"/>
        </w:rPr>
        <w:t xml:space="preserve"> </w:t>
      </w:r>
      <w:r>
        <w:rPr>
          <w:rFonts w:ascii="Garamond" w:hAnsi="Garamond"/>
          <w:szCs w:val="22"/>
        </w:rPr>
        <w:t>o</w:t>
      </w:r>
      <w:r w:rsidRPr="00CC35CB">
        <w:rPr>
          <w:rFonts w:ascii="Garamond" w:hAnsi="Garamond"/>
          <w:szCs w:val="22"/>
        </w:rPr>
        <w:t>bligation d'entreprises du secteur financier</w:t>
      </w:r>
      <w:r>
        <w:rPr>
          <w:rFonts w:ascii="Garamond" w:hAnsi="Garamond"/>
          <w:szCs w:val="22"/>
        </w:rPr>
        <w:t xml:space="preserve">, ce qui peut être corrigé par le moyen d’un autre changement de volume. Dans ce cas, à l’actif </w:t>
      </w:r>
      <w:r w:rsidRPr="00CF71D5">
        <w:rPr>
          <w:rFonts w:ascii="Garamond" w:hAnsi="Garamond"/>
          <w:szCs w:val="22"/>
        </w:rPr>
        <w:t>une entrée négative</w:t>
      </w:r>
      <w:r>
        <w:rPr>
          <w:rFonts w:ascii="Garamond" w:hAnsi="Garamond"/>
          <w:szCs w:val="22"/>
        </w:rPr>
        <w:t xml:space="preserve"> pour les « obligations d’entreprises du secteur financier » (</w:t>
      </w:r>
      <w:r w:rsidRPr="00CF71D5">
        <w:rPr>
          <w:rFonts w:ascii="Garamond" w:hAnsi="Garamond"/>
          <w:szCs w:val="22"/>
        </w:rPr>
        <w:t>R0090/EC0041</w:t>
      </w:r>
      <w:r>
        <w:rPr>
          <w:rFonts w:ascii="Garamond" w:hAnsi="Garamond"/>
          <w:szCs w:val="22"/>
        </w:rPr>
        <w:t>) (aussi à déclarer en « o</w:t>
      </w:r>
      <w:r w:rsidRPr="00CC35CB">
        <w:rPr>
          <w:rFonts w:ascii="Garamond" w:hAnsi="Garamond"/>
          <w:szCs w:val="22"/>
        </w:rPr>
        <w:t>bligations d'entreprises</w:t>
      </w:r>
      <w:r>
        <w:rPr>
          <w:rFonts w:ascii="Garamond" w:hAnsi="Garamond"/>
          <w:szCs w:val="22"/>
        </w:rPr>
        <w:t> »</w:t>
      </w:r>
      <w:r w:rsidRPr="00CF71D5">
        <w:rPr>
          <w:rFonts w:ascii="Garamond" w:hAnsi="Garamond"/>
          <w:szCs w:val="22"/>
        </w:rPr>
        <w:t xml:space="preserve"> </w:t>
      </w:r>
      <w:r>
        <w:rPr>
          <w:rFonts w:ascii="Garamond" w:hAnsi="Garamond"/>
          <w:szCs w:val="22"/>
        </w:rPr>
        <w:t>(R0080/EC0041)</w:t>
      </w:r>
      <w:r w:rsidRPr="00CF71D5">
        <w:rPr>
          <w:rFonts w:ascii="Garamond" w:hAnsi="Garamond"/>
          <w:szCs w:val="22"/>
        </w:rPr>
        <w:t xml:space="preserve"> </w:t>
      </w:r>
      <w:r>
        <w:rPr>
          <w:rFonts w:ascii="Garamond" w:hAnsi="Garamond"/>
          <w:szCs w:val="22"/>
        </w:rPr>
        <w:t>et « </w:t>
      </w:r>
      <w:r>
        <w:rPr>
          <w:rFonts w:ascii="Garamond" w:hAnsi="Garamond"/>
        </w:rPr>
        <w:t>o</w:t>
      </w:r>
      <w:r w:rsidRPr="00C20B08">
        <w:rPr>
          <w:rFonts w:ascii="Garamond" w:hAnsi="Garamond"/>
        </w:rPr>
        <w:t>bligations, titres de créance négociables et titres à revenu fixe</w:t>
      </w:r>
      <w:r>
        <w:rPr>
          <w:rFonts w:ascii="Garamond" w:hAnsi="Garamond"/>
        </w:rPr>
        <w:t> »</w:t>
      </w:r>
      <w:r>
        <w:rPr>
          <w:rFonts w:ascii="Garamond" w:hAnsi="Garamond"/>
          <w:szCs w:val="22"/>
        </w:rPr>
        <w:t xml:space="preserve"> (R0060/EC0041)) et une entrée positive compensatoire en « a</w:t>
      </w:r>
      <w:r w:rsidRPr="00C20B08">
        <w:rPr>
          <w:rFonts w:ascii="Garamond" w:hAnsi="Garamond"/>
        </w:rPr>
        <w:t>ctions et titres cotés</w:t>
      </w:r>
      <w:r>
        <w:rPr>
          <w:rFonts w:ascii="Garamond" w:hAnsi="Garamond"/>
        </w:rPr>
        <w:t> »</w:t>
      </w:r>
      <w:r>
        <w:rPr>
          <w:rFonts w:ascii="Garamond" w:hAnsi="Garamond"/>
          <w:szCs w:val="22"/>
        </w:rPr>
        <w:t xml:space="preserve"> (</w:t>
      </w:r>
      <w:r w:rsidRPr="00CF71D5">
        <w:rPr>
          <w:rFonts w:ascii="Garamond" w:hAnsi="Garamond"/>
          <w:szCs w:val="22"/>
        </w:rPr>
        <w:t>R0040/EC0041</w:t>
      </w:r>
      <w:r>
        <w:rPr>
          <w:rFonts w:ascii="Garamond" w:hAnsi="Garamond"/>
          <w:szCs w:val="22"/>
        </w:rPr>
        <w:t>) (aussi à déclarer en « </w:t>
      </w:r>
      <w:r w:rsidRPr="00C20B08">
        <w:rPr>
          <w:rFonts w:ascii="Garamond" w:hAnsi="Garamond"/>
        </w:rPr>
        <w:t>Actions, parts et autres titres à revenu variable</w:t>
      </w:r>
      <w:r>
        <w:rPr>
          <w:rFonts w:ascii="Garamond" w:hAnsi="Garamond"/>
        </w:rPr>
        <w:t> »</w:t>
      </w:r>
      <w:r>
        <w:rPr>
          <w:rFonts w:ascii="Garamond" w:hAnsi="Garamond"/>
          <w:szCs w:val="22"/>
        </w:rPr>
        <w:t xml:space="preserve"> (R0030/EC0041)) doivent être déclarées avec les mêmes montants en valeur absolue mais avec des signes opposés.</w:t>
      </w:r>
    </w:p>
    <w:p w14:paraId="231405DA" w14:textId="77777777" w:rsidR="001A63D9" w:rsidRDefault="001A63D9" w:rsidP="001A63D9">
      <w:pPr>
        <w:pStyle w:val="Paragraphedeliste1"/>
        <w:ind w:left="0" w:firstLine="708"/>
        <w:rPr>
          <w:rFonts w:ascii="Garamond" w:hAnsi="Garamond"/>
          <w:szCs w:val="22"/>
        </w:rPr>
      </w:pPr>
    </w:p>
    <w:p w14:paraId="52313EF5" w14:textId="77777777" w:rsidR="001A63D9" w:rsidRDefault="001A63D9" w:rsidP="001A63D9">
      <w:pPr>
        <w:pStyle w:val="Paragraphedeliste1"/>
        <w:ind w:left="0" w:firstLine="708"/>
        <w:rPr>
          <w:rFonts w:ascii="Garamond" w:hAnsi="Garamond"/>
          <w:szCs w:val="22"/>
        </w:rPr>
      </w:pPr>
    </w:p>
    <w:p w14:paraId="464910C6" w14:textId="77777777" w:rsidR="001A63D9" w:rsidRDefault="001A63D9" w:rsidP="001A63D9">
      <w:pPr>
        <w:pStyle w:val="Paragraphedeliste1"/>
        <w:ind w:left="0" w:firstLine="708"/>
        <w:rPr>
          <w:rFonts w:ascii="Garamond" w:hAnsi="Garamond"/>
          <w:szCs w:val="22"/>
        </w:rPr>
      </w:pPr>
    </w:p>
    <w:p w14:paraId="7C15589D" w14:textId="77777777" w:rsidR="001A63D9" w:rsidRDefault="001A63D9" w:rsidP="001A63D9">
      <w:pPr>
        <w:pStyle w:val="Paragraphedeliste1"/>
        <w:ind w:left="0" w:firstLine="708"/>
        <w:rPr>
          <w:rFonts w:ascii="Garamond" w:hAnsi="Garamond"/>
          <w:szCs w:val="22"/>
        </w:rPr>
      </w:pPr>
    </w:p>
    <w:p w14:paraId="59F57353" w14:textId="77777777" w:rsidR="001A63D9" w:rsidRPr="00FC2C25" w:rsidRDefault="001A63D9" w:rsidP="001A63D9">
      <w:pPr>
        <w:pStyle w:val="Paragraphedeliste1"/>
        <w:ind w:left="0" w:firstLine="708"/>
        <w:rPr>
          <w:rFonts w:ascii="Garamond" w:hAnsi="Garamond"/>
          <w:szCs w:val="22"/>
        </w:rPr>
      </w:pPr>
      <w:r>
        <w:rPr>
          <w:rFonts w:ascii="Garamond" w:hAnsi="Garamond"/>
          <w:szCs w:val="22"/>
        </w:rPr>
        <w:t xml:space="preserve">Les entrées suivantes doivent par conséquent être déclarées dans </w:t>
      </w:r>
      <w:r w:rsidRPr="00FC2C25">
        <w:rPr>
          <w:rFonts w:ascii="Garamond" w:hAnsi="Garamond"/>
          <w:szCs w:val="22"/>
        </w:rPr>
        <w:t>PFE.02.01</w:t>
      </w:r>
      <w:r>
        <w:rPr>
          <w:rFonts w:ascii="Garamond" w:hAnsi="Garamond"/>
          <w:szCs w:val="22"/>
        </w:rPr>
        <w:t xml:space="preserve"> </w:t>
      </w:r>
      <w:r w:rsidRPr="00FC2C25">
        <w:rPr>
          <w:rFonts w:ascii="Garamond" w:hAnsi="Garamond"/>
          <w:szCs w:val="22"/>
        </w:rPr>
        <w:t>:</w:t>
      </w:r>
    </w:p>
    <w:tbl>
      <w:tblPr>
        <w:tblStyle w:val="Grilledutableau"/>
        <w:tblW w:w="0" w:type="auto"/>
        <w:tblLook w:val="04A0" w:firstRow="1" w:lastRow="0" w:firstColumn="1" w:lastColumn="0" w:noHBand="0" w:noVBand="1"/>
      </w:tblPr>
      <w:tblGrid>
        <w:gridCol w:w="3022"/>
        <w:gridCol w:w="3009"/>
        <w:gridCol w:w="3031"/>
      </w:tblGrid>
      <w:tr w:rsidR="001A63D9" w14:paraId="782CF6D3" w14:textId="77777777" w:rsidTr="001A63D9">
        <w:tc>
          <w:tcPr>
            <w:tcW w:w="3070" w:type="dxa"/>
          </w:tcPr>
          <w:p w14:paraId="38560D65" w14:textId="77777777" w:rsidR="001A63D9" w:rsidRDefault="001A63D9" w:rsidP="001A63D9">
            <w:pPr>
              <w:pStyle w:val="Paragraphedeliste1"/>
              <w:ind w:left="0"/>
              <w:rPr>
                <w:rFonts w:ascii="Garamond" w:hAnsi="Garamond"/>
                <w:szCs w:val="22"/>
              </w:rPr>
            </w:pPr>
          </w:p>
        </w:tc>
        <w:tc>
          <w:tcPr>
            <w:tcW w:w="3071" w:type="dxa"/>
          </w:tcPr>
          <w:p w14:paraId="584CB827" w14:textId="77777777" w:rsidR="001A63D9" w:rsidRDefault="001A63D9" w:rsidP="001A63D9">
            <w:pPr>
              <w:pStyle w:val="Paragraphedeliste1"/>
              <w:ind w:left="0"/>
              <w:rPr>
                <w:rFonts w:ascii="Garamond" w:hAnsi="Garamond"/>
                <w:szCs w:val="22"/>
              </w:rPr>
            </w:pPr>
          </w:p>
        </w:tc>
        <w:tc>
          <w:tcPr>
            <w:tcW w:w="3071" w:type="dxa"/>
          </w:tcPr>
          <w:p w14:paraId="12418F8E" w14:textId="77777777" w:rsidR="001A63D9" w:rsidRDefault="001A63D9" w:rsidP="001A63D9">
            <w:pPr>
              <w:pStyle w:val="Paragraphedeliste1"/>
              <w:ind w:left="0"/>
              <w:rPr>
                <w:rFonts w:ascii="Garamond" w:hAnsi="Garamond"/>
                <w:szCs w:val="22"/>
              </w:rPr>
            </w:pPr>
            <w:r>
              <w:rPr>
                <w:rFonts w:ascii="Garamond" w:hAnsi="Garamond"/>
                <w:szCs w:val="22"/>
              </w:rPr>
              <w:t>Autre changement de volume</w:t>
            </w:r>
          </w:p>
        </w:tc>
      </w:tr>
      <w:tr w:rsidR="001A63D9" w14:paraId="1096D1B3" w14:textId="77777777" w:rsidTr="001A63D9">
        <w:tc>
          <w:tcPr>
            <w:tcW w:w="3070" w:type="dxa"/>
          </w:tcPr>
          <w:p w14:paraId="7005FE5A" w14:textId="77777777" w:rsidR="001A63D9" w:rsidRDefault="001A63D9" w:rsidP="001A63D9">
            <w:pPr>
              <w:pStyle w:val="Paragraphedeliste1"/>
              <w:ind w:left="0"/>
              <w:rPr>
                <w:rFonts w:ascii="Garamond" w:hAnsi="Garamond"/>
                <w:szCs w:val="22"/>
              </w:rPr>
            </w:pPr>
          </w:p>
        </w:tc>
        <w:tc>
          <w:tcPr>
            <w:tcW w:w="3071" w:type="dxa"/>
          </w:tcPr>
          <w:p w14:paraId="30FBACB8" w14:textId="77777777" w:rsidR="001A63D9" w:rsidRDefault="001A63D9" w:rsidP="001A63D9">
            <w:pPr>
              <w:pStyle w:val="Paragraphedeliste1"/>
              <w:ind w:left="0"/>
              <w:rPr>
                <w:rFonts w:ascii="Garamond" w:hAnsi="Garamond"/>
                <w:szCs w:val="22"/>
              </w:rPr>
            </w:pPr>
          </w:p>
        </w:tc>
        <w:tc>
          <w:tcPr>
            <w:tcW w:w="3071" w:type="dxa"/>
          </w:tcPr>
          <w:p w14:paraId="421DE995" w14:textId="77777777" w:rsidR="001A63D9" w:rsidRDefault="001A63D9" w:rsidP="001A63D9">
            <w:pPr>
              <w:pStyle w:val="Paragraphedeliste1"/>
              <w:ind w:left="0"/>
              <w:rPr>
                <w:rFonts w:ascii="Garamond" w:hAnsi="Garamond"/>
                <w:szCs w:val="22"/>
              </w:rPr>
            </w:pPr>
            <w:r>
              <w:rPr>
                <w:rFonts w:ascii="Garamond" w:hAnsi="Garamond"/>
                <w:szCs w:val="22"/>
              </w:rPr>
              <w:t>EC0041</w:t>
            </w:r>
          </w:p>
        </w:tc>
      </w:tr>
      <w:tr w:rsidR="001A63D9" w14:paraId="04AA05E6" w14:textId="77777777" w:rsidTr="001A63D9">
        <w:tc>
          <w:tcPr>
            <w:tcW w:w="3070" w:type="dxa"/>
          </w:tcPr>
          <w:p w14:paraId="04F767F8" w14:textId="77777777" w:rsidR="001A63D9" w:rsidRDefault="001A63D9" w:rsidP="001A63D9">
            <w:pPr>
              <w:pStyle w:val="Paragraphedeliste1"/>
              <w:ind w:left="0"/>
              <w:rPr>
                <w:rFonts w:ascii="Garamond" w:hAnsi="Garamond"/>
                <w:szCs w:val="22"/>
              </w:rPr>
            </w:pPr>
            <w:r w:rsidRPr="00C20B08">
              <w:rPr>
                <w:rFonts w:ascii="Garamond" w:hAnsi="Garamond"/>
              </w:rPr>
              <w:t>Actions, parts et autres titres à revenu variable</w:t>
            </w:r>
          </w:p>
        </w:tc>
        <w:tc>
          <w:tcPr>
            <w:tcW w:w="3071" w:type="dxa"/>
          </w:tcPr>
          <w:p w14:paraId="225C4174" w14:textId="77777777" w:rsidR="001A63D9" w:rsidRDefault="001A63D9" w:rsidP="001A63D9">
            <w:pPr>
              <w:pStyle w:val="Paragraphedeliste1"/>
              <w:ind w:left="0"/>
              <w:rPr>
                <w:rFonts w:ascii="Garamond" w:hAnsi="Garamond"/>
                <w:szCs w:val="22"/>
              </w:rPr>
            </w:pPr>
            <w:r>
              <w:rPr>
                <w:rFonts w:ascii="Garamond" w:hAnsi="Garamond"/>
                <w:szCs w:val="22"/>
              </w:rPr>
              <w:t>R0030</w:t>
            </w:r>
          </w:p>
        </w:tc>
        <w:tc>
          <w:tcPr>
            <w:tcW w:w="3071" w:type="dxa"/>
          </w:tcPr>
          <w:p w14:paraId="4847C6FF" w14:textId="77777777" w:rsidR="001A63D9" w:rsidRDefault="001A63D9" w:rsidP="001A63D9">
            <w:pPr>
              <w:pStyle w:val="Paragraphedeliste1"/>
              <w:ind w:left="0"/>
              <w:rPr>
                <w:rFonts w:ascii="Garamond" w:hAnsi="Garamond"/>
                <w:szCs w:val="22"/>
              </w:rPr>
            </w:pPr>
            <w:r>
              <w:rPr>
                <w:rFonts w:ascii="Garamond" w:hAnsi="Garamond"/>
                <w:szCs w:val="22"/>
              </w:rPr>
              <w:t>+ 100</w:t>
            </w:r>
          </w:p>
        </w:tc>
      </w:tr>
      <w:tr w:rsidR="001A63D9" w14:paraId="60F36FD4" w14:textId="77777777" w:rsidTr="001A63D9">
        <w:tc>
          <w:tcPr>
            <w:tcW w:w="3070" w:type="dxa"/>
          </w:tcPr>
          <w:p w14:paraId="09B0F331" w14:textId="77777777" w:rsidR="001A63D9" w:rsidRDefault="001A63D9" w:rsidP="001A63D9">
            <w:pPr>
              <w:pStyle w:val="Paragraphedeliste1"/>
              <w:ind w:left="0"/>
              <w:rPr>
                <w:rFonts w:ascii="Garamond" w:hAnsi="Garamond"/>
                <w:szCs w:val="22"/>
              </w:rPr>
            </w:pPr>
            <w:r>
              <w:rPr>
                <w:rFonts w:ascii="Garamond" w:hAnsi="Garamond"/>
                <w:szCs w:val="22"/>
              </w:rPr>
              <w:t xml:space="preserve">Actions </w:t>
            </w:r>
            <w:r w:rsidRPr="00C20B08">
              <w:rPr>
                <w:rFonts w:ascii="Garamond" w:hAnsi="Garamond"/>
              </w:rPr>
              <w:t xml:space="preserve"> et titres cotés</w:t>
            </w:r>
          </w:p>
        </w:tc>
        <w:tc>
          <w:tcPr>
            <w:tcW w:w="3071" w:type="dxa"/>
          </w:tcPr>
          <w:p w14:paraId="646E5FD6" w14:textId="77777777" w:rsidR="001A63D9" w:rsidRDefault="001A63D9" w:rsidP="001A63D9">
            <w:pPr>
              <w:pStyle w:val="Paragraphedeliste1"/>
              <w:ind w:left="0"/>
              <w:rPr>
                <w:rFonts w:ascii="Garamond" w:hAnsi="Garamond"/>
                <w:szCs w:val="22"/>
              </w:rPr>
            </w:pPr>
            <w:r>
              <w:rPr>
                <w:rFonts w:ascii="Garamond" w:hAnsi="Garamond"/>
                <w:szCs w:val="22"/>
              </w:rPr>
              <w:t>R0040</w:t>
            </w:r>
          </w:p>
        </w:tc>
        <w:tc>
          <w:tcPr>
            <w:tcW w:w="3071" w:type="dxa"/>
          </w:tcPr>
          <w:p w14:paraId="795F880E" w14:textId="77777777" w:rsidR="001A63D9" w:rsidRDefault="001A63D9" w:rsidP="001A63D9">
            <w:pPr>
              <w:pStyle w:val="Paragraphedeliste1"/>
              <w:ind w:left="0"/>
              <w:rPr>
                <w:rFonts w:ascii="Garamond" w:hAnsi="Garamond"/>
                <w:szCs w:val="22"/>
              </w:rPr>
            </w:pPr>
            <w:r>
              <w:rPr>
                <w:rFonts w:ascii="Garamond" w:hAnsi="Garamond"/>
                <w:szCs w:val="22"/>
              </w:rPr>
              <w:t>+ 100</w:t>
            </w:r>
          </w:p>
        </w:tc>
      </w:tr>
      <w:tr w:rsidR="001A63D9" w14:paraId="7C9FFD48" w14:textId="77777777" w:rsidTr="001A63D9">
        <w:tc>
          <w:tcPr>
            <w:tcW w:w="3070" w:type="dxa"/>
          </w:tcPr>
          <w:p w14:paraId="761603D6" w14:textId="77777777" w:rsidR="001A63D9" w:rsidRDefault="001A63D9" w:rsidP="001A63D9">
            <w:pPr>
              <w:pStyle w:val="Paragraphedeliste1"/>
              <w:ind w:left="0"/>
              <w:rPr>
                <w:rFonts w:ascii="Garamond" w:hAnsi="Garamond"/>
                <w:szCs w:val="22"/>
              </w:rPr>
            </w:pPr>
            <w:r w:rsidRPr="00C20B08">
              <w:rPr>
                <w:rFonts w:ascii="Garamond" w:hAnsi="Garamond"/>
              </w:rPr>
              <w:t>Obligations, titres de créance négociables et titres à revenu fixe</w:t>
            </w:r>
          </w:p>
        </w:tc>
        <w:tc>
          <w:tcPr>
            <w:tcW w:w="3071" w:type="dxa"/>
          </w:tcPr>
          <w:p w14:paraId="459E1131" w14:textId="77777777" w:rsidR="001A63D9" w:rsidRDefault="001A63D9" w:rsidP="001A63D9">
            <w:pPr>
              <w:pStyle w:val="Paragraphedeliste1"/>
              <w:ind w:left="0"/>
              <w:rPr>
                <w:rFonts w:ascii="Garamond" w:hAnsi="Garamond"/>
                <w:szCs w:val="22"/>
              </w:rPr>
            </w:pPr>
            <w:r>
              <w:rPr>
                <w:rFonts w:ascii="Garamond" w:hAnsi="Garamond"/>
                <w:szCs w:val="22"/>
              </w:rPr>
              <w:t>R0060</w:t>
            </w:r>
          </w:p>
        </w:tc>
        <w:tc>
          <w:tcPr>
            <w:tcW w:w="3071" w:type="dxa"/>
          </w:tcPr>
          <w:p w14:paraId="5C0666BB" w14:textId="77777777" w:rsidR="001A63D9" w:rsidRDefault="001A63D9" w:rsidP="001A63D9">
            <w:pPr>
              <w:pStyle w:val="Paragraphedeliste1"/>
              <w:numPr>
                <w:ilvl w:val="0"/>
                <w:numId w:val="14"/>
              </w:numPr>
              <w:rPr>
                <w:rFonts w:ascii="Garamond" w:hAnsi="Garamond"/>
                <w:szCs w:val="22"/>
              </w:rPr>
            </w:pPr>
            <w:r>
              <w:rPr>
                <w:rFonts w:ascii="Garamond" w:hAnsi="Garamond"/>
                <w:szCs w:val="22"/>
              </w:rPr>
              <w:t>100</w:t>
            </w:r>
          </w:p>
        </w:tc>
      </w:tr>
      <w:tr w:rsidR="001A63D9" w14:paraId="2DA4A69F" w14:textId="77777777" w:rsidTr="001A63D9">
        <w:tc>
          <w:tcPr>
            <w:tcW w:w="3070" w:type="dxa"/>
          </w:tcPr>
          <w:p w14:paraId="20C49BD5" w14:textId="77777777" w:rsidR="001A63D9" w:rsidRDefault="001A63D9" w:rsidP="001A63D9">
            <w:pPr>
              <w:pStyle w:val="Paragraphedeliste1"/>
              <w:ind w:left="0"/>
              <w:rPr>
                <w:rFonts w:ascii="Garamond" w:hAnsi="Garamond"/>
                <w:szCs w:val="22"/>
              </w:rPr>
            </w:pPr>
            <w:r>
              <w:rPr>
                <w:rFonts w:ascii="Garamond" w:hAnsi="Garamond"/>
                <w:szCs w:val="22"/>
              </w:rPr>
              <w:t>Obligations d’entreprise</w:t>
            </w:r>
          </w:p>
        </w:tc>
        <w:tc>
          <w:tcPr>
            <w:tcW w:w="3071" w:type="dxa"/>
          </w:tcPr>
          <w:p w14:paraId="319B0AC7" w14:textId="77777777" w:rsidR="001A63D9" w:rsidRDefault="001A63D9" w:rsidP="001A63D9">
            <w:pPr>
              <w:pStyle w:val="Paragraphedeliste1"/>
              <w:ind w:left="0"/>
              <w:rPr>
                <w:rFonts w:ascii="Garamond" w:hAnsi="Garamond"/>
                <w:szCs w:val="22"/>
              </w:rPr>
            </w:pPr>
            <w:r>
              <w:rPr>
                <w:rFonts w:ascii="Garamond" w:hAnsi="Garamond"/>
                <w:szCs w:val="22"/>
              </w:rPr>
              <w:t>R0080</w:t>
            </w:r>
          </w:p>
        </w:tc>
        <w:tc>
          <w:tcPr>
            <w:tcW w:w="3071" w:type="dxa"/>
          </w:tcPr>
          <w:p w14:paraId="23F94A50" w14:textId="77777777" w:rsidR="001A63D9" w:rsidRDefault="001A63D9" w:rsidP="001A63D9">
            <w:pPr>
              <w:pStyle w:val="Paragraphedeliste1"/>
              <w:numPr>
                <w:ilvl w:val="0"/>
                <w:numId w:val="14"/>
              </w:numPr>
              <w:rPr>
                <w:rFonts w:ascii="Garamond" w:hAnsi="Garamond"/>
                <w:szCs w:val="22"/>
              </w:rPr>
            </w:pPr>
            <w:r>
              <w:rPr>
                <w:rFonts w:ascii="Garamond" w:hAnsi="Garamond"/>
                <w:szCs w:val="22"/>
              </w:rPr>
              <w:t>100</w:t>
            </w:r>
          </w:p>
        </w:tc>
      </w:tr>
      <w:tr w:rsidR="001A63D9" w14:paraId="1146EE42" w14:textId="77777777" w:rsidTr="001A63D9">
        <w:tc>
          <w:tcPr>
            <w:tcW w:w="3070" w:type="dxa"/>
          </w:tcPr>
          <w:p w14:paraId="2098E726" w14:textId="77777777" w:rsidR="001A63D9" w:rsidRDefault="001A63D9" w:rsidP="001A63D9">
            <w:pPr>
              <w:pStyle w:val="Paragraphedeliste1"/>
              <w:ind w:left="0"/>
              <w:rPr>
                <w:rFonts w:ascii="Garamond" w:hAnsi="Garamond"/>
                <w:szCs w:val="22"/>
              </w:rPr>
            </w:pPr>
            <w:r w:rsidRPr="00C20B08">
              <w:rPr>
                <w:rFonts w:ascii="Garamond" w:hAnsi="Garamond"/>
              </w:rPr>
              <w:t>Obligations d'entreprises du secteur financier</w:t>
            </w:r>
          </w:p>
        </w:tc>
        <w:tc>
          <w:tcPr>
            <w:tcW w:w="3071" w:type="dxa"/>
          </w:tcPr>
          <w:p w14:paraId="24E857ED" w14:textId="77777777" w:rsidR="001A63D9" w:rsidRDefault="001A63D9" w:rsidP="001A63D9">
            <w:pPr>
              <w:pStyle w:val="Paragraphedeliste1"/>
              <w:ind w:left="0"/>
              <w:rPr>
                <w:rFonts w:ascii="Garamond" w:hAnsi="Garamond"/>
                <w:szCs w:val="22"/>
              </w:rPr>
            </w:pPr>
            <w:r>
              <w:rPr>
                <w:rFonts w:ascii="Garamond" w:hAnsi="Garamond"/>
                <w:szCs w:val="22"/>
              </w:rPr>
              <w:t>R0090</w:t>
            </w:r>
          </w:p>
        </w:tc>
        <w:tc>
          <w:tcPr>
            <w:tcW w:w="3071" w:type="dxa"/>
          </w:tcPr>
          <w:p w14:paraId="0081DEA4" w14:textId="77777777" w:rsidR="001A63D9" w:rsidRDefault="001A63D9" w:rsidP="001A63D9">
            <w:pPr>
              <w:pStyle w:val="Paragraphedeliste1"/>
              <w:numPr>
                <w:ilvl w:val="0"/>
                <w:numId w:val="14"/>
              </w:numPr>
              <w:rPr>
                <w:rFonts w:ascii="Garamond" w:hAnsi="Garamond"/>
                <w:szCs w:val="22"/>
              </w:rPr>
            </w:pPr>
            <w:r>
              <w:rPr>
                <w:rFonts w:ascii="Garamond" w:hAnsi="Garamond"/>
                <w:szCs w:val="22"/>
              </w:rPr>
              <w:t>100</w:t>
            </w:r>
          </w:p>
        </w:tc>
      </w:tr>
    </w:tbl>
    <w:p w14:paraId="692F01B0" w14:textId="4B372B5E" w:rsidR="001A63D9" w:rsidRDefault="001A63D9" w:rsidP="001A63D9">
      <w:pPr>
        <w:pStyle w:val="Paragraphedeliste1"/>
        <w:rPr>
          <w:rFonts w:ascii="Garamond" w:hAnsi="Garamond"/>
          <w:szCs w:val="22"/>
        </w:rPr>
      </w:pPr>
    </w:p>
    <w:p w14:paraId="1E879BA7" w14:textId="77777777" w:rsidR="00373D13" w:rsidRDefault="00373D13" w:rsidP="001A63D9">
      <w:pPr>
        <w:pStyle w:val="Paragraphedeliste1"/>
        <w:rPr>
          <w:rFonts w:ascii="Garamond" w:hAnsi="Garamond"/>
          <w:szCs w:val="22"/>
        </w:rPr>
      </w:pPr>
    </w:p>
    <w:p w14:paraId="4B60AC9E" w14:textId="1F0139D0" w:rsidR="001A63D9" w:rsidRPr="002B3892" w:rsidRDefault="001A63D9" w:rsidP="001A63D9">
      <w:pPr>
        <w:pStyle w:val="Paragraphedeliste1"/>
        <w:ind w:left="0" w:firstLine="708"/>
        <w:rPr>
          <w:rFonts w:ascii="Garamond" w:hAnsi="Garamond"/>
          <w:szCs w:val="22"/>
        </w:rPr>
      </w:pPr>
      <w:r>
        <w:rPr>
          <w:rFonts w:ascii="Garamond" w:hAnsi="Garamond"/>
          <w:szCs w:val="22"/>
        </w:rPr>
        <w:t xml:space="preserve">Dans le second cas, les encours des actifs et passifs totaux changent en conséquence d’autres changements de volume, entraînant la déclaration d’autres changements de volume à la fois à l’actif et au passif. Ce type d’autre changement de volume peut être soumis, par exemple, quand la valeur d’un instrument financier a été déclarée de façon erronée comme étant inférieure à sa valeur effective, à la suite </w:t>
      </w:r>
      <w:r w:rsidR="00D55E8F">
        <w:rPr>
          <w:rFonts w:ascii="Garamond" w:hAnsi="Garamond"/>
          <w:szCs w:val="22"/>
        </w:rPr>
        <w:t>notamment</w:t>
      </w:r>
      <w:r w:rsidR="006340B4">
        <w:rPr>
          <w:rFonts w:ascii="Garamond" w:hAnsi="Garamond"/>
          <w:szCs w:val="22"/>
        </w:rPr>
        <w:t xml:space="preserve"> </w:t>
      </w:r>
      <w:r>
        <w:rPr>
          <w:rFonts w:ascii="Garamond" w:hAnsi="Garamond"/>
          <w:szCs w:val="22"/>
        </w:rPr>
        <w:t>d’une erreur de calcul ou de déclaration (par exemple une valeur déclarée de 15 au lieu de 150).</w:t>
      </w:r>
    </w:p>
    <w:p w14:paraId="56CB0C4D" w14:textId="77777777" w:rsidR="001A63D9" w:rsidRPr="002B3892" w:rsidRDefault="001A63D9" w:rsidP="001A63D9">
      <w:pPr>
        <w:pStyle w:val="Paragraphedeliste1"/>
        <w:ind w:left="0" w:firstLine="708"/>
        <w:rPr>
          <w:rFonts w:ascii="Garamond" w:hAnsi="Garamond"/>
          <w:szCs w:val="22"/>
        </w:rPr>
      </w:pPr>
    </w:p>
    <w:p w14:paraId="46A3DD2F" w14:textId="3463BCFA" w:rsidR="001A63D9" w:rsidRDefault="001A63D9" w:rsidP="001A63D9">
      <w:pPr>
        <w:pStyle w:val="Paragraphedeliste1"/>
        <w:ind w:left="0" w:firstLine="708"/>
        <w:rPr>
          <w:rFonts w:ascii="Garamond" w:hAnsi="Garamond"/>
        </w:rPr>
      </w:pPr>
      <w:r w:rsidRPr="00DC33FC">
        <w:rPr>
          <w:rFonts w:ascii="Garamond" w:hAnsi="Garamond"/>
          <w:szCs w:val="22"/>
          <w:u w:val="single"/>
        </w:rPr>
        <w:t>Exemple, cas 2</w:t>
      </w:r>
      <w:r>
        <w:rPr>
          <w:rFonts w:ascii="Garamond" w:hAnsi="Garamond"/>
          <w:szCs w:val="22"/>
        </w:rPr>
        <w:t xml:space="preserve"> </w:t>
      </w:r>
      <w:r w:rsidRPr="00E72750">
        <w:rPr>
          <w:rFonts w:ascii="Garamond" w:hAnsi="Garamond"/>
          <w:szCs w:val="22"/>
        </w:rPr>
        <w:t xml:space="preserve">: </w:t>
      </w:r>
      <w:r>
        <w:rPr>
          <w:rFonts w:ascii="Garamond" w:hAnsi="Garamond"/>
          <w:szCs w:val="22"/>
        </w:rPr>
        <w:t>Un changement de 15 à 150 en actions cotées peut affecter, par exemple, un droit à pension du secteur des m</w:t>
      </w:r>
      <w:r w:rsidRPr="007C160A">
        <w:rPr>
          <w:rFonts w:ascii="Garamond" w:hAnsi="Garamond"/>
          <w:szCs w:val="22"/>
        </w:rPr>
        <w:t xml:space="preserve">énages </w:t>
      </w:r>
      <w:r>
        <w:rPr>
          <w:rFonts w:ascii="Garamond" w:hAnsi="Garamond"/>
          <w:szCs w:val="22"/>
        </w:rPr>
        <w:t>et des</w:t>
      </w:r>
      <w:r w:rsidRPr="007C160A">
        <w:rPr>
          <w:rFonts w:ascii="Garamond" w:hAnsi="Garamond"/>
          <w:szCs w:val="22"/>
        </w:rPr>
        <w:t xml:space="preserve"> institutions sans but lucratif au service des ménages</w:t>
      </w:r>
      <w:r>
        <w:rPr>
          <w:rFonts w:ascii="Garamond" w:hAnsi="Garamond"/>
          <w:szCs w:val="22"/>
        </w:rPr>
        <w:t xml:space="preserve"> du territoire national dans un régime à cotisations définies. Ce droit à pension fait partie des « provisions techniques » PFE.02.01 (R0280). La catégorie du poste du bilan reste la même. Ce type d’autre changement de volume, qui change les actifs et passifs totaux, impliquerait une entrée positive de 135 pour « a</w:t>
      </w:r>
      <w:r w:rsidRPr="007C160A">
        <w:rPr>
          <w:rFonts w:ascii="Garamond" w:hAnsi="Garamond"/>
          <w:szCs w:val="22"/>
        </w:rPr>
        <w:t>ctions et titres cotés</w:t>
      </w:r>
      <w:r>
        <w:rPr>
          <w:rFonts w:ascii="Garamond" w:hAnsi="Garamond"/>
          <w:szCs w:val="22"/>
        </w:rPr>
        <w:t> » (R0040/EC0041) (aussi à déclarer en « </w:t>
      </w:r>
      <w:r w:rsidRPr="00C20B08">
        <w:rPr>
          <w:rFonts w:ascii="Garamond" w:hAnsi="Garamond"/>
        </w:rPr>
        <w:t>Actions, parts et autres titres à revenu variable</w:t>
      </w:r>
      <w:r>
        <w:rPr>
          <w:rFonts w:ascii="Garamond" w:hAnsi="Garamond"/>
        </w:rPr>
        <w:t> » (R0030/EC0041) et « t</w:t>
      </w:r>
      <w:r w:rsidRPr="007C160A">
        <w:rPr>
          <w:rFonts w:ascii="Garamond" w:hAnsi="Garamond"/>
        </w:rPr>
        <w:t>otal de l'actif</w:t>
      </w:r>
      <w:r>
        <w:rPr>
          <w:rFonts w:ascii="Garamond" w:hAnsi="Garamond"/>
        </w:rPr>
        <w:t> » (R0270/EC0041)) et une entrée positive de 135 au passif pour les « p</w:t>
      </w:r>
      <w:r w:rsidRPr="007C160A">
        <w:rPr>
          <w:rFonts w:ascii="Garamond" w:hAnsi="Garamond"/>
        </w:rPr>
        <w:t>rovisions techniques</w:t>
      </w:r>
      <w:r>
        <w:rPr>
          <w:rFonts w:ascii="Garamond" w:hAnsi="Garamond"/>
        </w:rPr>
        <w:t> » (R0280/EC0041) et « t</w:t>
      </w:r>
      <w:r w:rsidRPr="007C160A">
        <w:rPr>
          <w:rFonts w:ascii="Garamond" w:hAnsi="Garamond"/>
        </w:rPr>
        <w:t>otal des passifs (hors éléments de fonds propres)</w:t>
      </w:r>
      <w:r>
        <w:rPr>
          <w:rFonts w:ascii="Garamond" w:hAnsi="Garamond"/>
        </w:rPr>
        <w:t> » (R0320/EC0041). La plus grande valeur de marché dans cet exemple impacte les provisions techniques, entraînant la déclaration d’un autre changement de volume positif pour ce poste. Il en résulte une entrée positive de 135 au passif pour les « p</w:t>
      </w:r>
      <w:r w:rsidRPr="008F238A">
        <w:rPr>
          <w:rFonts w:ascii="Garamond" w:hAnsi="Garamond"/>
        </w:rPr>
        <w:t>rovisions techniques</w:t>
      </w:r>
      <w:r>
        <w:rPr>
          <w:rFonts w:ascii="Garamond" w:hAnsi="Garamond"/>
        </w:rPr>
        <w:t> » (R0280/EC0041) et le « t</w:t>
      </w:r>
      <w:r w:rsidRPr="008F238A">
        <w:rPr>
          <w:rFonts w:ascii="Garamond" w:hAnsi="Garamond"/>
        </w:rPr>
        <w:t>otal des passifs (hors éléments de fonds propres)</w:t>
      </w:r>
      <w:r>
        <w:rPr>
          <w:rFonts w:ascii="Garamond" w:hAnsi="Garamond"/>
        </w:rPr>
        <w:t> » (R0320/EC0041).</w:t>
      </w:r>
    </w:p>
    <w:p w14:paraId="17692D8B" w14:textId="77777777" w:rsidR="001A63D9" w:rsidRDefault="001A63D9" w:rsidP="001A63D9">
      <w:pPr>
        <w:pStyle w:val="Paragraphedeliste1"/>
        <w:ind w:left="0" w:firstLine="708"/>
        <w:rPr>
          <w:rFonts w:ascii="Garamond" w:hAnsi="Garamond"/>
          <w:szCs w:val="22"/>
        </w:rPr>
      </w:pPr>
    </w:p>
    <w:p w14:paraId="3904DC54" w14:textId="77777777" w:rsidR="001A63D9" w:rsidRDefault="001A63D9" w:rsidP="001A63D9">
      <w:pPr>
        <w:pStyle w:val="Paragraphedeliste1"/>
        <w:ind w:left="0" w:firstLine="708"/>
        <w:rPr>
          <w:rFonts w:ascii="Garamond" w:hAnsi="Garamond"/>
          <w:szCs w:val="22"/>
        </w:rPr>
      </w:pPr>
    </w:p>
    <w:p w14:paraId="0A854A27" w14:textId="77777777" w:rsidR="001A63D9" w:rsidRDefault="001A63D9" w:rsidP="001A63D9">
      <w:pPr>
        <w:pStyle w:val="Paragraphedeliste1"/>
        <w:ind w:left="0" w:firstLine="708"/>
        <w:rPr>
          <w:rFonts w:ascii="Garamond" w:hAnsi="Garamond"/>
        </w:rPr>
      </w:pPr>
      <w:r>
        <w:rPr>
          <w:rFonts w:ascii="Garamond" w:hAnsi="Garamond"/>
        </w:rPr>
        <w:t>Les entrées suivantes doivent donc être déclarées dans PFE.02.01.</w:t>
      </w:r>
    </w:p>
    <w:p w14:paraId="367A6028" w14:textId="77777777" w:rsidR="001A63D9" w:rsidRPr="00E72750" w:rsidRDefault="001A63D9" w:rsidP="001A63D9">
      <w:pPr>
        <w:pStyle w:val="Paragraphedeliste1"/>
        <w:ind w:left="0"/>
        <w:rPr>
          <w:rFonts w:ascii="Garamond" w:hAnsi="Garamond"/>
          <w:szCs w:val="22"/>
        </w:rPr>
      </w:pPr>
    </w:p>
    <w:tbl>
      <w:tblPr>
        <w:tblStyle w:val="Grilledutableau"/>
        <w:tblW w:w="0" w:type="auto"/>
        <w:tblLook w:val="04A0" w:firstRow="1" w:lastRow="0" w:firstColumn="1" w:lastColumn="0" w:noHBand="0" w:noVBand="1"/>
      </w:tblPr>
      <w:tblGrid>
        <w:gridCol w:w="3022"/>
        <w:gridCol w:w="3014"/>
        <w:gridCol w:w="3026"/>
      </w:tblGrid>
      <w:tr w:rsidR="001A63D9" w14:paraId="326DC6FD" w14:textId="77777777" w:rsidTr="001A63D9">
        <w:tc>
          <w:tcPr>
            <w:tcW w:w="3070" w:type="dxa"/>
          </w:tcPr>
          <w:p w14:paraId="0FC7BBE5" w14:textId="77777777" w:rsidR="001A63D9" w:rsidRDefault="001A63D9" w:rsidP="001A63D9">
            <w:pPr>
              <w:pStyle w:val="Paragraphedeliste1"/>
              <w:ind w:left="0"/>
              <w:rPr>
                <w:rFonts w:ascii="Garamond" w:hAnsi="Garamond"/>
                <w:szCs w:val="22"/>
              </w:rPr>
            </w:pPr>
          </w:p>
        </w:tc>
        <w:tc>
          <w:tcPr>
            <w:tcW w:w="3071" w:type="dxa"/>
          </w:tcPr>
          <w:p w14:paraId="7C80001A" w14:textId="77777777" w:rsidR="001A63D9" w:rsidRDefault="001A63D9" w:rsidP="001A63D9">
            <w:pPr>
              <w:pStyle w:val="Paragraphedeliste1"/>
              <w:ind w:left="0"/>
              <w:jc w:val="center"/>
              <w:rPr>
                <w:rFonts w:ascii="Garamond" w:hAnsi="Garamond"/>
                <w:szCs w:val="22"/>
              </w:rPr>
            </w:pPr>
          </w:p>
        </w:tc>
        <w:tc>
          <w:tcPr>
            <w:tcW w:w="3071" w:type="dxa"/>
          </w:tcPr>
          <w:p w14:paraId="5590E353" w14:textId="77777777" w:rsidR="001A63D9" w:rsidRDefault="001A63D9" w:rsidP="001A63D9">
            <w:pPr>
              <w:pStyle w:val="Paragraphedeliste1"/>
              <w:ind w:left="0"/>
              <w:jc w:val="center"/>
              <w:rPr>
                <w:rFonts w:ascii="Garamond" w:hAnsi="Garamond"/>
                <w:szCs w:val="22"/>
              </w:rPr>
            </w:pPr>
            <w:r>
              <w:rPr>
                <w:rFonts w:ascii="Garamond" w:hAnsi="Garamond"/>
                <w:szCs w:val="22"/>
              </w:rPr>
              <w:t>Autre changement de volume</w:t>
            </w:r>
          </w:p>
        </w:tc>
      </w:tr>
      <w:tr w:rsidR="001A63D9" w14:paraId="75985D95" w14:textId="77777777" w:rsidTr="001A63D9">
        <w:tc>
          <w:tcPr>
            <w:tcW w:w="3070" w:type="dxa"/>
            <w:tcBorders>
              <w:bottom w:val="single" w:sz="4" w:space="0" w:color="auto"/>
            </w:tcBorders>
          </w:tcPr>
          <w:p w14:paraId="3877979A" w14:textId="77777777" w:rsidR="001A63D9" w:rsidRDefault="001A63D9" w:rsidP="001A63D9">
            <w:pPr>
              <w:pStyle w:val="Paragraphedeliste1"/>
              <w:ind w:left="0"/>
              <w:rPr>
                <w:rFonts w:ascii="Garamond" w:hAnsi="Garamond"/>
                <w:szCs w:val="22"/>
              </w:rPr>
            </w:pPr>
          </w:p>
        </w:tc>
        <w:tc>
          <w:tcPr>
            <w:tcW w:w="3071" w:type="dxa"/>
            <w:tcBorders>
              <w:bottom w:val="single" w:sz="4" w:space="0" w:color="auto"/>
            </w:tcBorders>
          </w:tcPr>
          <w:p w14:paraId="5EFFB18E" w14:textId="77777777" w:rsidR="001A63D9" w:rsidRDefault="001A63D9" w:rsidP="001A63D9">
            <w:pPr>
              <w:pStyle w:val="Paragraphedeliste1"/>
              <w:ind w:left="0"/>
              <w:jc w:val="center"/>
              <w:rPr>
                <w:rFonts w:ascii="Garamond" w:hAnsi="Garamond"/>
                <w:szCs w:val="22"/>
              </w:rPr>
            </w:pPr>
          </w:p>
        </w:tc>
        <w:tc>
          <w:tcPr>
            <w:tcW w:w="3071" w:type="dxa"/>
            <w:tcBorders>
              <w:bottom w:val="single" w:sz="4" w:space="0" w:color="auto"/>
            </w:tcBorders>
          </w:tcPr>
          <w:p w14:paraId="124B80C9" w14:textId="77777777" w:rsidR="001A63D9" w:rsidRDefault="001A63D9" w:rsidP="001A63D9">
            <w:pPr>
              <w:pStyle w:val="Paragraphedeliste1"/>
              <w:ind w:left="0"/>
              <w:jc w:val="center"/>
              <w:rPr>
                <w:rFonts w:ascii="Garamond" w:hAnsi="Garamond"/>
                <w:szCs w:val="22"/>
              </w:rPr>
            </w:pPr>
            <w:r>
              <w:rPr>
                <w:rFonts w:ascii="Garamond" w:hAnsi="Garamond"/>
                <w:szCs w:val="22"/>
              </w:rPr>
              <w:t>EC0041</w:t>
            </w:r>
          </w:p>
        </w:tc>
      </w:tr>
      <w:tr w:rsidR="001A63D9" w14:paraId="13CCF7A6" w14:textId="77777777" w:rsidTr="001A63D9">
        <w:tc>
          <w:tcPr>
            <w:tcW w:w="3070" w:type="dxa"/>
          </w:tcPr>
          <w:p w14:paraId="714B10AA" w14:textId="77777777" w:rsidR="001A63D9" w:rsidRDefault="001A63D9" w:rsidP="001A63D9">
            <w:pPr>
              <w:pStyle w:val="Paragraphedeliste1"/>
              <w:ind w:left="0"/>
              <w:rPr>
                <w:rFonts w:ascii="Garamond" w:hAnsi="Garamond"/>
                <w:szCs w:val="22"/>
              </w:rPr>
            </w:pPr>
            <w:r w:rsidRPr="00C20B08">
              <w:rPr>
                <w:rFonts w:ascii="Garamond" w:hAnsi="Garamond"/>
              </w:rPr>
              <w:t>Actions, parts et autres titres à revenu variable</w:t>
            </w:r>
          </w:p>
        </w:tc>
        <w:tc>
          <w:tcPr>
            <w:tcW w:w="3071" w:type="dxa"/>
          </w:tcPr>
          <w:p w14:paraId="67CB4D8E" w14:textId="77777777" w:rsidR="001A63D9" w:rsidRDefault="001A63D9" w:rsidP="001A63D9">
            <w:pPr>
              <w:pStyle w:val="Paragraphedeliste1"/>
              <w:ind w:left="0"/>
              <w:jc w:val="center"/>
              <w:rPr>
                <w:rFonts w:ascii="Garamond" w:hAnsi="Garamond"/>
                <w:szCs w:val="22"/>
              </w:rPr>
            </w:pPr>
            <w:r>
              <w:rPr>
                <w:rFonts w:ascii="Garamond" w:hAnsi="Garamond"/>
                <w:szCs w:val="22"/>
              </w:rPr>
              <w:t>R0030</w:t>
            </w:r>
          </w:p>
        </w:tc>
        <w:tc>
          <w:tcPr>
            <w:tcW w:w="3071" w:type="dxa"/>
          </w:tcPr>
          <w:p w14:paraId="7D6B2DE7" w14:textId="77777777" w:rsidR="001A63D9" w:rsidRDefault="001A63D9" w:rsidP="001A63D9">
            <w:pPr>
              <w:pStyle w:val="Paragraphedeliste1"/>
              <w:ind w:left="0"/>
              <w:jc w:val="center"/>
              <w:rPr>
                <w:rFonts w:ascii="Garamond" w:hAnsi="Garamond"/>
                <w:szCs w:val="22"/>
              </w:rPr>
            </w:pPr>
            <w:r>
              <w:rPr>
                <w:rFonts w:ascii="Garamond" w:hAnsi="Garamond"/>
                <w:szCs w:val="22"/>
              </w:rPr>
              <w:t>+135</w:t>
            </w:r>
          </w:p>
        </w:tc>
      </w:tr>
      <w:tr w:rsidR="001A63D9" w14:paraId="52760BFE" w14:textId="77777777" w:rsidTr="001A63D9">
        <w:tc>
          <w:tcPr>
            <w:tcW w:w="3070" w:type="dxa"/>
            <w:tcBorders>
              <w:bottom w:val="single" w:sz="4" w:space="0" w:color="auto"/>
            </w:tcBorders>
          </w:tcPr>
          <w:p w14:paraId="3945512E" w14:textId="77777777" w:rsidR="001A63D9" w:rsidRDefault="001A63D9" w:rsidP="001A63D9">
            <w:pPr>
              <w:pStyle w:val="Paragraphedeliste1"/>
              <w:ind w:left="0"/>
              <w:rPr>
                <w:rFonts w:ascii="Garamond" w:hAnsi="Garamond"/>
                <w:szCs w:val="22"/>
              </w:rPr>
            </w:pPr>
            <w:r w:rsidRPr="00C20B08">
              <w:rPr>
                <w:rFonts w:ascii="Garamond" w:hAnsi="Garamond"/>
              </w:rPr>
              <w:t>Actions et titres cotés</w:t>
            </w:r>
          </w:p>
        </w:tc>
        <w:tc>
          <w:tcPr>
            <w:tcW w:w="3071" w:type="dxa"/>
            <w:tcBorders>
              <w:bottom w:val="single" w:sz="4" w:space="0" w:color="auto"/>
            </w:tcBorders>
          </w:tcPr>
          <w:p w14:paraId="33481C31" w14:textId="77777777" w:rsidR="001A63D9" w:rsidRDefault="001A63D9" w:rsidP="001A63D9">
            <w:pPr>
              <w:pStyle w:val="Paragraphedeliste1"/>
              <w:ind w:left="0"/>
              <w:jc w:val="center"/>
              <w:rPr>
                <w:rFonts w:ascii="Garamond" w:hAnsi="Garamond"/>
                <w:szCs w:val="22"/>
              </w:rPr>
            </w:pPr>
            <w:r>
              <w:rPr>
                <w:rFonts w:ascii="Garamond" w:hAnsi="Garamond"/>
                <w:szCs w:val="22"/>
              </w:rPr>
              <w:t>R0040</w:t>
            </w:r>
          </w:p>
        </w:tc>
        <w:tc>
          <w:tcPr>
            <w:tcW w:w="3071" w:type="dxa"/>
            <w:tcBorders>
              <w:bottom w:val="single" w:sz="4" w:space="0" w:color="auto"/>
            </w:tcBorders>
          </w:tcPr>
          <w:p w14:paraId="706E4C67" w14:textId="77777777" w:rsidR="001A63D9" w:rsidRDefault="001A63D9" w:rsidP="001A63D9">
            <w:pPr>
              <w:pStyle w:val="Paragraphedeliste1"/>
              <w:ind w:left="0"/>
              <w:jc w:val="center"/>
              <w:rPr>
                <w:rFonts w:ascii="Garamond" w:hAnsi="Garamond"/>
                <w:szCs w:val="22"/>
              </w:rPr>
            </w:pPr>
            <w:r>
              <w:rPr>
                <w:rFonts w:ascii="Garamond" w:hAnsi="Garamond"/>
                <w:szCs w:val="22"/>
              </w:rPr>
              <w:t>+135</w:t>
            </w:r>
          </w:p>
        </w:tc>
      </w:tr>
      <w:tr w:rsidR="001A63D9" w14:paraId="3DE4F95A" w14:textId="77777777" w:rsidTr="001A63D9">
        <w:tc>
          <w:tcPr>
            <w:tcW w:w="3070" w:type="dxa"/>
            <w:tcBorders>
              <w:top w:val="single" w:sz="4" w:space="0" w:color="auto"/>
              <w:left w:val="single" w:sz="4" w:space="0" w:color="auto"/>
              <w:bottom w:val="single" w:sz="18" w:space="0" w:color="auto"/>
              <w:right w:val="single" w:sz="4" w:space="0" w:color="auto"/>
            </w:tcBorders>
          </w:tcPr>
          <w:p w14:paraId="15B703CA" w14:textId="77777777" w:rsidR="001A63D9" w:rsidRDefault="001A63D9" w:rsidP="001A63D9">
            <w:pPr>
              <w:pStyle w:val="Paragraphedeliste1"/>
              <w:ind w:left="0"/>
              <w:rPr>
                <w:rFonts w:ascii="Garamond" w:hAnsi="Garamond"/>
                <w:szCs w:val="22"/>
              </w:rPr>
            </w:pPr>
            <w:r w:rsidRPr="008F238A">
              <w:rPr>
                <w:rFonts w:ascii="Garamond" w:hAnsi="Garamond"/>
                <w:szCs w:val="22"/>
              </w:rPr>
              <w:t>Total de l'actif</w:t>
            </w:r>
          </w:p>
        </w:tc>
        <w:tc>
          <w:tcPr>
            <w:tcW w:w="3071" w:type="dxa"/>
            <w:tcBorders>
              <w:top w:val="single" w:sz="4" w:space="0" w:color="auto"/>
              <w:left w:val="single" w:sz="4" w:space="0" w:color="auto"/>
              <w:bottom w:val="single" w:sz="18" w:space="0" w:color="auto"/>
              <w:right w:val="single" w:sz="4" w:space="0" w:color="auto"/>
            </w:tcBorders>
          </w:tcPr>
          <w:p w14:paraId="2919212B" w14:textId="77777777" w:rsidR="001A63D9" w:rsidRDefault="001A63D9" w:rsidP="001A63D9">
            <w:pPr>
              <w:pStyle w:val="Paragraphedeliste1"/>
              <w:ind w:left="0"/>
              <w:jc w:val="center"/>
              <w:rPr>
                <w:rFonts w:ascii="Garamond" w:hAnsi="Garamond"/>
                <w:szCs w:val="22"/>
              </w:rPr>
            </w:pPr>
            <w:r>
              <w:rPr>
                <w:rFonts w:ascii="Garamond" w:hAnsi="Garamond"/>
                <w:szCs w:val="22"/>
              </w:rPr>
              <w:t>R0270</w:t>
            </w:r>
          </w:p>
        </w:tc>
        <w:tc>
          <w:tcPr>
            <w:tcW w:w="3071" w:type="dxa"/>
            <w:tcBorders>
              <w:top w:val="single" w:sz="4" w:space="0" w:color="auto"/>
              <w:left w:val="single" w:sz="4" w:space="0" w:color="auto"/>
              <w:bottom w:val="single" w:sz="18" w:space="0" w:color="auto"/>
              <w:right w:val="single" w:sz="4" w:space="0" w:color="auto"/>
            </w:tcBorders>
          </w:tcPr>
          <w:p w14:paraId="441A3EB8" w14:textId="77777777" w:rsidR="001A63D9" w:rsidRDefault="001A63D9" w:rsidP="001A63D9">
            <w:pPr>
              <w:pStyle w:val="Paragraphedeliste1"/>
              <w:ind w:left="0"/>
              <w:jc w:val="center"/>
              <w:rPr>
                <w:rFonts w:ascii="Garamond" w:hAnsi="Garamond"/>
                <w:szCs w:val="22"/>
              </w:rPr>
            </w:pPr>
            <w:r>
              <w:rPr>
                <w:rFonts w:ascii="Garamond" w:hAnsi="Garamond"/>
                <w:szCs w:val="22"/>
              </w:rPr>
              <w:t>+135</w:t>
            </w:r>
          </w:p>
        </w:tc>
      </w:tr>
      <w:tr w:rsidR="001A63D9" w14:paraId="292DB869" w14:textId="77777777" w:rsidTr="001A63D9">
        <w:tc>
          <w:tcPr>
            <w:tcW w:w="3070" w:type="dxa"/>
            <w:tcBorders>
              <w:top w:val="single" w:sz="18" w:space="0" w:color="auto"/>
            </w:tcBorders>
          </w:tcPr>
          <w:p w14:paraId="143EC9BD" w14:textId="77777777" w:rsidR="001A63D9" w:rsidRDefault="001A63D9" w:rsidP="001A63D9">
            <w:pPr>
              <w:pStyle w:val="Paragraphedeliste1"/>
              <w:ind w:left="0"/>
              <w:rPr>
                <w:rFonts w:ascii="Garamond" w:hAnsi="Garamond"/>
                <w:szCs w:val="22"/>
              </w:rPr>
            </w:pPr>
            <w:r w:rsidRPr="008F238A">
              <w:rPr>
                <w:rFonts w:ascii="Garamond" w:hAnsi="Garamond"/>
                <w:szCs w:val="22"/>
              </w:rPr>
              <w:t>Provisions techniques</w:t>
            </w:r>
          </w:p>
        </w:tc>
        <w:tc>
          <w:tcPr>
            <w:tcW w:w="3071" w:type="dxa"/>
            <w:tcBorders>
              <w:top w:val="single" w:sz="18" w:space="0" w:color="auto"/>
            </w:tcBorders>
          </w:tcPr>
          <w:p w14:paraId="47CE1B8C" w14:textId="77777777" w:rsidR="001A63D9" w:rsidRDefault="001A63D9" w:rsidP="001A63D9">
            <w:pPr>
              <w:pStyle w:val="Paragraphedeliste1"/>
              <w:ind w:left="0"/>
              <w:jc w:val="center"/>
              <w:rPr>
                <w:rFonts w:ascii="Garamond" w:hAnsi="Garamond"/>
                <w:szCs w:val="22"/>
              </w:rPr>
            </w:pPr>
            <w:r>
              <w:rPr>
                <w:rFonts w:ascii="Garamond" w:hAnsi="Garamond"/>
                <w:szCs w:val="22"/>
              </w:rPr>
              <w:t>R0280</w:t>
            </w:r>
          </w:p>
        </w:tc>
        <w:tc>
          <w:tcPr>
            <w:tcW w:w="3071" w:type="dxa"/>
            <w:tcBorders>
              <w:top w:val="single" w:sz="18" w:space="0" w:color="auto"/>
            </w:tcBorders>
          </w:tcPr>
          <w:p w14:paraId="49039310" w14:textId="77777777" w:rsidR="001A63D9" w:rsidRDefault="001A63D9" w:rsidP="001A63D9">
            <w:pPr>
              <w:pStyle w:val="Paragraphedeliste1"/>
              <w:ind w:left="0"/>
              <w:jc w:val="center"/>
              <w:rPr>
                <w:rFonts w:ascii="Garamond" w:hAnsi="Garamond"/>
                <w:szCs w:val="22"/>
              </w:rPr>
            </w:pPr>
            <w:r>
              <w:rPr>
                <w:rFonts w:ascii="Garamond" w:hAnsi="Garamond"/>
                <w:szCs w:val="22"/>
              </w:rPr>
              <w:t>+135</w:t>
            </w:r>
          </w:p>
        </w:tc>
      </w:tr>
      <w:tr w:rsidR="001A63D9" w14:paraId="0FEDF07E" w14:textId="77777777" w:rsidTr="001A63D9">
        <w:tc>
          <w:tcPr>
            <w:tcW w:w="3070" w:type="dxa"/>
          </w:tcPr>
          <w:p w14:paraId="5A0867B0" w14:textId="77777777" w:rsidR="001A63D9" w:rsidRDefault="001A63D9" w:rsidP="001A63D9">
            <w:pPr>
              <w:pStyle w:val="Paragraphedeliste1"/>
              <w:ind w:left="0"/>
              <w:rPr>
                <w:rFonts w:ascii="Garamond" w:hAnsi="Garamond"/>
                <w:szCs w:val="22"/>
              </w:rPr>
            </w:pPr>
            <w:r w:rsidRPr="008F238A">
              <w:rPr>
                <w:rFonts w:ascii="Garamond" w:hAnsi="Garamond"/>
                <w:szCs w:val="22"/>
              </w:rPr>
              <w:t>Total des passifs (hors éléments de fonds propres)</w:t>
            </w:r>
          </w:p>
        </w:tc>
        <w:tc>
          <w:tcPr>
            <w:tcW w:w="3071" w:type="dxa"/>
          </w:tcPr>
          <w:p w14:paraId="0F7EB916" w14:textId="77777777" w:rsidR="001A63D9" w:rsidRDefault="001A63D9" w:rsidP="001A63D9">
            <w:pPr>
              <w:pStyle w:val="Paragraphedeliste1"/>
              <w:ind w:left="0"/>
              <w:jc w:val="center"/>
              <w:rPr>
                <w:rFonts w:ascii="Garamond" w:hAnsi="Garamond"/>
                <w:szCs w:val="22"/>
              </w:rPr>
            </w:pPr>
            <w:r>
              <w:rPr>
                <w:rFonts w:ascii="Garamond" w:hAnsi="Garamond"/>
                <w:szCs w:val="22"/>
              </w:rPr>
              <w:t>R0320</w:t>
            </w:r>
          </w:p>
        </w:tc>
        <w:tc>
          <w:tcPr>
            <w:tcW w:w="3071" w:type="dxa"/>
          </w:tcPr>
          <w:p w14:paraId="0B8F34EC" w14:textId="77777777" w:rsidR="001A63D9" w:rsidRDefault="001A63D9" w:rsidP="001A63D9">
            <w:pPr>
              <w:pStyle w:val="Paragraphedeliste1"/>
              <w:ind w:left="0"/>
              <w:jc w:val="center"/>
              <w:rPr>
                <w:rFonts w:ascii="Garamond" w:hAnsi="Garamond"/>
                <w:szCs w:val="22"/>
              </w:rPr>
            </w:pPr>
            <w:r>
              <w:rPr>
                <w:rFonts w:ascii="Garamond" w:hAnsi="Garamond"/>
                <w:szCs w:val="22"/>
              </w:rPr>
              <w:t>+135</w:t>
            </w:r>
          </w:p>
        </w:tc>
      </w:tr>
    </w:tbl>
    <w:p w14:paraId="362FD270" w14:textId="77777777" w:rsidR="001A63D9" w:rsidRDefault="001A63D9" w:rsidP="001A63D9">
      <w:pPr>
        <w:pStyle w:val="Paragraphedeliste1"/>
        <w:ind w:left="0"/>
        <w:rPr>
          <w:rFonts w:ascii="Garamond" w:hAnsi="Garamond"/>
          <w:szCs w:val="22"/>
        </w:rPr>
      </w:pPr>
    </w:p>
    <w:p w14:paraId="63A8E329" w14:textId="77777777" w:rsidR="001A63D9" w:rsidRDefault="001A63D9" w:rsidP="001A63D9">
      <w:pPr>
        <w:pStyle w:val="Paragraphedeliste1"/>
        <w:ind w:left="0"/>
        <w:rPr>
          <w:rFonts w:ascii="Garamond" w:hAnsi="Garamond"/>
          <w:szCs w:val="22"/>
        </w:rPr>
      </w:pPr>
      <w:r>
        <w:rPr>
          <w:rFonts w:ascii="Garamond" w:hAnsi="Garamond"/>
          <w:szCs w:val="22"/>
        </w:rPr>
        <w:t>Dans ce cas, l’enregistrement d’autres changements de volume est aussi nécessaire pour le tableau EP.03.01. Comme les provisions techniques PFE.02.01 (R0280) font partie des « réserves techniques » EP.03.01 (ER0080), un autre changement de volume doit aussi être déclaré en EP.03.01 (EZ0010 « 5 – autre changement de volume »). Dans cet exemple, le changement dans la valeur des actions cotées affecte de +135 un droit à pension du secteur des m</w:t>
      </w:r>
      <w:r w:rsidRPr="00DF744A">
        <w:rPr>
          <w:rFonts w:ascii="Garamond" w:hAnsi="Garamond"/>
          <w:szCs w:val="22"/>
        </w:rPr>
        <w:t xml:space="preserve">énages </w:t>
      </w:r>
      <w:r>
        <w:rPr>
          <w:rFonts w:ascii="Garamond" w:hAnsi="Garamond"/>
          <w:szCs w:val="22"/>
        </w:rPr>
        <w:t>et des</w:t>
      </w:r>
      <w:r w:rsidRPr="00DF744A">
        <w:rPr>
          <w:rFonts w:ascii="Garamond" w:hAnsi="Garamond"/>
          <w:szCs w:val="22"/>
        </w:rPr>
        <w:t xml:space="preserve"> institutions sans but lucratif au service des ménages</w:t>
      </w:r>
      <w:r>
        <w:rPr>
          <w:rFonts w:ascii="Garamond" w:hAnsi="Garamond"/>
          <w:szCs w:val="22"/>
        </w:rPr>
        <w:t xml:space="preserve"> du territoire national dans un régime à cotisations définies (EP.03.01.30 ER0100/EC0120) (aussi à déclarer en EP.03.01.30 (ER0080/EC0010, EC0020) et (ER0090, ER0100/EC010, EC020, EC0120)).</w:t>
      </w:r>
    </w:p>
    <w:p w14:paraId="611F78E1" w14:textId="77777777" w:rsidR="001A63D9" w:rsidRDefault="001A63D9" w:rsidP="001A63D9">
      <w:pPr>
        <w:pStyle w:val="Paragraphedeliste1"/>
        <w:ind w:left="0"/>
        <w:rPr>
          <w:rFonts w:ascii="Garamond" w:hAnsi="Garamond"/>
          <w:szCs w:val="22"/>
        </w:rPr>
      </w:pPr>
    </w:p>
    <w:p w14:paraId="0F6D398A" w14:textId="77777777" w:rsidR="001A63D9" w:rsidRDefault="001A63D9" w:rsidP="001A63D9">
      <w:pPr>
        <w:pStyle w:val="Paragraphedeliste1"/>
        <w:ind w:left="0"/>
        <w:rPr>
          <w:rFonts w:ascii="Garamond" w:hAnsi="Garamond"/>
          <w:szCs w:val="22"/>
        </w:rPr>
      </w:pPr>
      <w:r>
        <w:rPr>
          <w:rFonts w:ascii="Garamond" w:hAnsi="Garamond"/>
          <w:szCs w:val="22"/>
        </w:rPr>
        <w:t>Les entrées suivantes doivent aussi être déclarées en EP.03.01 (EZ0010 « 5 – autre changement de volume »).</w:t>
      </w:r>
    </w:p>
    <w:p w14:paraId="6C4528E4" w14:textId="77777777" w:rsidR="001A63D9" w:rsidRDefault="001A63D9" w:rsidP="001A63D9">
      <w:pPr>
        <w:pStyle w:val="Paragraphedeliste1"/>
        <w:ind w:left="0"/>
        <w:rPr>
          <w:rFonts w:ascii="Garamond" w:hAnsi="Garamond"/>
          <w:szCs w:val="22"/>
        </w:rPr>
      </w:pPr>
    </w:p>
    <w:tbl>
      <w:tblPr>
        <w:tblW w:w="8804" w:type="dxa"/>
        <w:tblInd w:w="93" w:type="dxa"/>
        <w:tblLook w:val="04A0" w:firstRow="1" w:lastRow="0" w:firstColumn="1" w:lastColumn="0" w:noHBand="0" w:noVBand="1"/>
      </w:tblPr>
      <w:tblGrid>
        <w:gridCol w:w="3984"/>
        <w:gridCol w:w="994"/>
        <w:gridCol w:w="992"/>
        <w:gridCol w:w="991"/>
        <w:gridCol w:w="1843"/>
      </w:tblGrid>
      <w:tr w:rsidR="001A63D9" w:rsidRPr="00247A75" w14:paraId="402EA1E0" w14:textId="77777777" w:rsidTr="001A63D9">
        <w:trPr>
          <w:trHeight w:val="285"/>
        </w:trPr>
        <w:tc>
          <w:tcPr>
            <w:tcW w:w="3984" w:type="dxa"/>
            <w:tcBorders>
              <w:left w:val="nil"/>
              <w:bottom w:val="nil"/>
              <w:right w:val="nil"/>
            </w:tcBorders>
            <w:shd w:val="clear" w:color="auto" w:fill="F2F2F2" w:themeFill="background1" w:themeFillShade="F2"/>
            <w:noWrap/>
            <w:vAlign w:val="center"/>
            <w:hideMark/>
          </w:tcPr>
          <w:p w14:paraId="343E90CA" w14:textId="77777777" w:rsidR="001A63D9" w:rsidRPr="00247A75" w:rsidRDefault="001A63D9" w:rsidP="001A63D9">
            <w:pPr>
              <w:spacing w:after="0" w:line="360" w:lineRule="auto"/>
              <w:rPr>
                <w:rFonts w:ascii="Arial" w:eastAsia="Calibri" w:hAnsi="Arial" w:cs="Arial"/>
                <w:sz w:val="20"/>
                <w:szCs w:val="20"/>
              </w:rPr>
            </w:pPr>
          </w:p>
        </w:tc>
        <w:tc>
          <w:tcPr>
            <w:tcW w:w="994" w:type="dxa"/>
            <w:tcBorders>
              <w:left w:val="nil"/>
              <w:bottom w:val="nil"/>
              <w:right w:val="single" w:sz="4" w:space="0" w:color="auto"/>
            </w:tcBorders>
            <w:shd w:val="clear" w:color="auto" w:fill="F2F2F2" w:themeFill="background1" w:themeFillShade="F2"/>
            <w:noWrap/>
            <w:vAlign w:val="center"/>
            <w:hideMark/>
          </w:tcPr>
          <w:p w14:paraId="5F4566D4" w14:textId="77777777" w:rsidR="001A63D9" w:rsidRPr="00247A75" w:rsidRDefault="001A63D9" w:rsidP="001A63D9">
            <w:pPr>
              <w:spacing w:after="0" w:line="360" w:lineRule="auto"/>
              <w:rPr>
                <w:rFonts w:ascii="Arial" w:eastAsia="Calibri" w:hAnsi="Arial" w:cs="Arial"/>
                <w:sz w:val="20"/>
                <w:szCs w:val="20"/>
              </w:rPr>
            </w:pPr>
          </w:p>
        </w:tc>
        <w:tc>
          <w:tcPr>
            <w:tcW w:w="3826" w:type="dxa"/>
            <w:gridSpan w:val="3"/>
            <w:tcBorders>
              <w:top w:val="single" w:sz="4" w:space="0" w:color="auto"/>
              <w:left w:val="single" w:sz="4" w:space="0" w:color="auto"/>
              <w:bottom w:val="nil"/>
              <w:right w:val="single" w:sz="4" w:space="0" w:color="000000"/>
            </w:tcBorders>
            <w:shd w:val="clear" w:color="auto" w:fill="F2F2F2" w:themeFill="background1" w:themeFillShade="F2"/>
            <w:noWrap/>
            <w:vAlign w:val="center"/>
            <w:hideMark/>
          </w:tcPr>
          <w:p w14:paraId="0486BDDE" w14:textId="77777777" w:rsidR="001A63D9" w:rsidRPr="00247A75" w:rsidRDefault="001A63D9" w:rsidP="001A63D9">
            <w:pPr>
              <w:spacing w:after="0" w:line="360" w:lineRule="auto"/>
              <w:jc w:val="center"/>
              <w:rPr>
                <w:rFonts w:ascii="Arial" w:eastAsia="Calibri" w:hAnsi="Arial" w:cs="Arial"/>
                <w:sz w:val="20"/>
                <w:szCs w:val="20"/>
              </w:rPr>
            </w:pPr>
            <w:r w:rsidRPr="00247A75">
              <w:rPr>
                <w:rFonts w:ascii="Arial" w:eastAsia="Calibri" w:hAnsi="Arial" w:cs="Times New Roman"/>
                <w:sz w:val="20"/>
                <w:szCs w:val="20"/>
              </w:rPr>
              <w:t>Total</w:t>
            </w:r>
          </w:p>
        </w:tc>
      </w:tr>
      <w:tr w:rsidR="001A63D9" w:rsidRPr="00247A75" w14:paraId="7E993CC4" w14:textId="77777777" w:rsidTr="001A63D9">
        <w:trPr>
          <w:trHeight w:val="491"/>
        </w:trPr>
        <w:tc>
          <w:tcPr>
            <w:tcW w:w="3984" w:type="dxa"/>
            <w:tcBorders>
              <w:top w:val="nil"/>
              <w:left w:val="nil"/>
              <w:bottom w:val="nil"/>
              <w:right w:val="nil"/>
            </w:tcBorders>
            <w:shd w:val="clear" w:color="auto" w:fill="F2F2F2" w:themeFill="background1" w:themeFillShade="F2"/>
            <w:noWrap/>
            <w:vAlign w:val="center"/>
            <w:hideMark/>
          </w:tcPr>
          <w:p w14:paraId="5804D901" w14:textId="77777777" w:rsidR="001A63D9" w:rsidRPr="00247A75" w:rsidRDefault="001A63D9" w:rsidP="001A63D9">
            <w:pPr>
              <w:spacing w:after="0" w:line="360" w:lineRule="auto"/>
              <w:rPr>
                <w:rFonts w:ascii="Arial" w:eastAsia="Calibri" w:hAnsi="Arial" w:cs="Arial"/>
                <w:sz w:val="20"/>
                <w:szCs w:val="20"/>
              </w:rPr>
            </w:pPr>
          </w:p>
        </w:tc>
        <w:tc>
          <w:tcPr>
            <w:tcW w:w="994" w:type="dxa"/>
            <w:tcBorders>
              <w:top w:val="nil"/>
              <w:left w:val="nil"/>
              <w:bottom w:val="nil"/>
              <w:right w:val="nil"/>
            </w:tcBorders>
            <w:shd w:val="clear" w:color="auto" w:fill="F2F2F2" w:themeFill="background1" w:themeFillShade="F2"/>
            <w:noWrap/>
            <w:vAlign w:val="center"/>
            <w:hideMark/>
          </w:tcPr>
          <w:p w14:paraId="4D05D1E8" w14:textId="77777777" w:rsidR="001A63D9" w:rsidRPr="00247A75" w:rsidRDefault="001A63D9" w:rsidP="001A63D9">
            <w:pPr>
              <w:spacing w:after="0" w:line="360" w:lineRule="auto"/>
              <w:rPr>
                <w:rFonts w:ascii="Arial" w:eastAsia="Calibri" w:hAnsi="Arial" w:cs="Arial"/>
                <w:sz w:val="20"/>
                <w:szCs w:val="20"/>
              </w:rPr>
            </w:pPr>
          </w:p>
        </w:tc>
        <w:tc>
          <w:tcPr>
            <w:tcW w:w="992" w:type="dxa"/>
            <w:tcBorders>
              <w:top w:val="nil"/>
              <w:left w:val="single" w:sz="4" w:space="0" w:color="auto"/>
              <w:bottom w:val="nil"/>
              <w:right w:val="single" w:sz="4" w:space="0" w:color="auto"/>
            </w:tcBorders>
            <w:shd w:val="clear" w:color="auto" w:fill="F2F2F2" w:themeFill="background1" w:themeFillShade="F2"/>
            <w:vAlign w:val="center"/>
            <w:hideMark/>
          </w:tcPr>
          <w:p w14:paraId="73528340" w14:textId="77777777" w:rsidR="001A63D9" w:rsidRPr="00247A75" w:rsidRDefault="001A63D9" w:rsidP="001A63D9">
            <w:pPr>
              <w:spacing w:after="0" w:line="360" w:lineRule="auto"/>
              <w:rPr>
                <w:rFonts w:ascii="Arial" w:eastAsia="Calibri" w:hAnsi="Arial" w:cs="Arial"/>
                <w:sz w:val="20"/>
                <w:szCs w:val="20"/>
              </w:rPr>
            </w:pPr>
            <w:r w:rsidRPr="00247A75">
              <w:rPr>
                <w:rFonts w:ascii="Arial" w:eastAsia="Calibri" w:hAnsi="Arial" w:cs="Times New Roman"/>
                <w:sz w:val="20"/>
                <w:szCs w:val="20"/>
              </w:rPr>
              <w:t> </w:t>
            </w:r>
          </w:p>
        </w:tc>
        <w:tc>
          <w:tcPr>
            <w:tcW w:w="2834" w:type="dxa"/>
            <w:gridSpan w:val="2"/>
            <w:tcBorders>
              <w:top w:val="single" w:sz="4" w:space="0" w:color="auto"/>
              <w:left w:val="single" w:sz="4" w:space="0" w:color="auto"/>
              <w:bottom w:val="nil"/>
              <w:right w:val="single" w:sz="4" w:space="0" w:color="000000"/>
            </w:tcBorders>
            <w:shd w:val="clear" w:color="auto" w:fill="F2F2F2" w:themeFill="background1" w:themeFillShade="F2"/>
            <w:vAlign w:val="center"/>
            <w:hideMark/>
          </w:tcPr>
          <w:p w14:paraId="3F822383" w14:textId="77777777" w:rsidR="001A63D9" w:rsidRPr="00247A75" w:rsidRDefault="001A63D9" w:rsidP="001A63D9">
            <w:pPr>
              <w:spacing w:after="0" w:line="360" w:lineRule="auto"/>
              <w:jc w:val="center"/>
              <w:rPr>
                <w:rFonts w:ascii="Arial" w:eastAsia="Calibri" w:hAnsi="Arial" w:cs="Arial"/>
                <w:sz w:val="20"/>
                <w:szCs w:val="20"/>
              </w:rPr>
            </w:pPr>
            <w:r w:rsidRPr="00247A75">
              <w:rPr>
                <w:rFonts w:ascii="Arial" w:eastAsia="Calibri" w:hAnsi="Arial" w:cs="Times New Roman"/>
                <w:sz w:val="20"/>
                <w:szCs w:val="20"/>
              </w:rPr>
              <w:t>Territoire national</w:t>
            </w:r>
          </w:p>
        </w:tc>
      </w:tr>
      <w:tr w:rsidR="001A63D9" w:rsidRPr="00247A75" w14:paraId="361ACA2D" w14:textId="77777777" w:rsidTr="001A63D9">
        <w:trPr>
          <w:trHeight w:val="300"/>
        </w:trPr>
        <w:tc>
          <w:tcPr>
            <w:tcW w:w="3984" w:type="dxa"/>
            <w:tcBorders>
              <w:top w:val="nil"/>
              <w:left w:val="nil"/>
              <w:bottom w:val="nil"/>
              <w:right w:val="nil"/>
            </w:tcBorders>
            <w:shd w:val="clear" w:color="auto" w:fill="F2F2F2" w:themeFill="background1" w:themeFillShade="F2"/>
            <w:noWrap/>
            <w:vAlign w:val="center"/>
            <w:hideMark/>
          </w:tcPr>
          <w:p w14:paraId="57BD25C9" w14:textId="77777777" w:rsidR="001A63D9" w:rsidRPr="00247A75" w:rsidRDefault="001A63D9" w:rsidP="001A63D9">
            <w:pPr>
              <w:spacing w:after="0" w:line="360" w:lineRule="auto"/>
              <w:rPr>
                <w:rFonts w:ascii="Arial" w:eastAsia="Calibri" w:hAnsi="Arial" w:cs="Arial"/>
                <w:sz w:val="20"/>
                <w:szCs w:val="20"/>
              </w:rPr>
            </w:pPr>
          </w:p>
        </w:tc>
        <w:tc>
          <w:tcPr>
            <w:tcW w:w="994" w:type="dxa"/>
            <w:tcBorders>
              <w:top w:val="nil"/>
              <w:left w:val="nil"/>
              <w:bottom w:val="nil"/>
              <w:right w:val="nil"/>
            </w:tcBorders>
            <w:shd w:val="clear" w:color="auto" w:fill="F2F2F2" w:themeFill="background1" w:themeFillShade="F2"/>
            <w:noWrap/>
            <w:vAlign w:val="center"/>
            <w:hideMark/>
          </w:tcPr>
          <w:p w14:paraId="0E5F7028" w14:textId="77777777" w:rsidR="001A63D9" w:rsidRPr="00247A75" w:rsidRDefault="001A63D9" w:rsidP="001A63D9">
            <w:pPr>
              <w:spacing w:after="0" w:line="360" w:lineRule="auto"/>
              <w:rPr>
                <w:rFonts w:ascii="Arial" w:eastAsia="Calibri" w:hAnsi="Arial" w:cs="Arial"/>
                <w:sz w:val="20"/>
                <w:szCs w:val="20"/>
              </w:rPr>
            </w:pPr>
          </w:p>
        </w:tc>
        <w:tc>
          <w:tcPr>
            <w:tcW w:w="992" w:type="dxa"/>
            <w:tcBorders>
              <w:top w:val="nil"/>
              <w:left w:val="single" w:sz="4" w:space="0" w:color="auto"/>
              <w:bottom w:val="nil"/>
              <w:right w:val="single" w:sz="4" w:space="0" w:color="auto"/>
            </w:tcBorders>
            <w:shd w:val="clear" w:color="auto" w:fill="F2F2F2" w:themeFill="background1" w:themeFillShade="F2"/>
            <w:vAlign w:val="center"/>
            <w:hideMark/>
          </w:tcPr>
          <w:p w14:paraId="7E5E63BA" w14:textId="77777777" w:rsidR="001A63D9" w:rsidRPr="00247A75" w:rsidRDefault="001A63D9" w:rsidP="001A63D9">
            <w:pPr>
              <w:spacing w:after="0" w:line="360" w:lineRule="auto"/>
              <w:rPr>
                <w:rFonts w:ascii="Arial" w:eastAsia="Calibri" w:hAnsi="Arial" w:cs="Arial"/>
                <w:sz w:val="20"/>
                <w:szCs w:val="20"/>
              </w:rPr>
            </w:pPr>
            <w:r w:rsidRPr="00247A75">
              <w:rPr>
                <w:rFonts w:ascii="Arial" w:eastAsia="Calibri" w:hAnsi="Arial" w:cs="Times New Roman"/>
                <w:sz w:val="20"/>
                <w:szCs w:val="20"/>
              </w:rPr>
              <w:t> </w:t>
            </w:r>
          </w:p>
        </w:tc>
        <w:tc>
          <w:tcPr>
            <w:tcW w:w="991" w:type="dxa"/>
            <w:tcBorders>
              <w:top w:val="nil"/>
              <w:left w:val="nil"/>
              <w:bottom w:val="nil"/>
              <w:right w:val="single" w:sz="4" w:space="0" w:color="auto"/>
            </w:tcBorders>
            <w:shd w:val="clear" w:color="auto" w:fill="F2F2F2" w:themeFill="background1" w:themeFillShade="F2"/>
            <w:vAlign w:val="center"/>
            <w:hideMark/>
          </w:tcPr>
          <w:p w14:paraId="0624D56E" w14:textId="77777777" w:rsidR="001A63D9" w:rsidRPr="00247A75" w:rsidRDefault="001A63D9" w:rsidP="001A63D9">
            <w:pPr>
              <w:spacing w:after="0" w:line="360" w:lineRule="auto"/>
              <w:rPr>
                <w:rFonts w:ascii="Arial" w:eastAsia="Calibri" w:hAnsi="Arial" w:cs="Arial"/>
                <w:sz w:val="20"/>
                <w:szCs w:val="20"/>
              </w:rPr>
            </w:pPr>
            <w:r w:rsidRPr="00247A75">
              <w:rPr>
                <w:rFonts w:ascii="Arial" w:eastAsia="Calibri" w:hAnsi="Arial" w:cs="Times New Roman"/>
                <w:sz w:val="20"/>
                <w:szCs w:val="20"/>
              </w:rPr>
              <w:t> </w:t>
            </w:r>
          </w:p>
        </w:tc>
        <w:tc>
          <w:tcPr>
            <w:tcW w:w="1843" w:type="dxa"/>
            <w:tcBorders>
              <w:top w:val="single" w:sz="4" w:space="0" w:color="auto"/>
              <w:left w:val="nil"/>
              <w:bottom w:val="nil"/>
              <w:right w:val="single" w:sz="4" w:space="0" w:color="auto"/>
            </w:tcBorders>
            <w:shd w:val="clear" w:color="auto" w:fill="F2F2F2" w:themeFill="background1" w:themeFillShade="F2"/>
            <w:vAlign w:val="center"/>
            <w:hideMark/>
          </w:tcPr>
          <w:p w14:paraId="4E1C7E01" w14:textId="77777777" w:rsidR="001A63D9" w:rsidRPr="00247A75" w:rsidRDefault="001A63D9" w:rsidP="001A63D9">
            <w:pPr>
              <w:spacing w:after="0" w:line="360" w:lineRule="auto"/>
              <w:jc w:val="center"/>
              <w:rPr>
                <w:rFonts w:ascii="Arial" w:eastAsia="Calibri" w:hAnsi="Arial" w:cs="Arial"/>
                <w:sz w:val="20"/>
                <w:szCs w:val="20"/>
              </w:rPr>
            </w:pPr>
            <w:r w:rsidRPr="00DF744A">
              <w:rPr>
                <w:rFonts w:ascii="Arial" w:eastAsia="Calibri" w:hAnsi="Arial" w:cs="Arial"/>
                <w:sz w:val="20"/>
                <w:szCs w:val="20"/>
              </w:rPr>
              <w:t>Ménages + institutions sans but lucratif au service des ménages</w:t>
            </w:r>
          </w:p>
        </w:tc>
      </w:tr>
      <w:tr w:rsidR="001A63D9" w:rsidRPr="00247A75" w14:paraId="19CA6B83" w14:textId="77777777" w:rsidTr="001A63D9">
        <w:trPr>
          <w:trHeight w:val="300"/>
        </w:trPr>
        <w:tc>
          <w:tcPr>
            <w:tcW w:w="3984" w:type="dxa"/>
            <w:tcBorders>
              <w:top w:val="nil"/>
              <w:left w:val="nil"/>
              <w:bottom w:val="single" w:sz="4" w:space="0" w:color="auto"/>
              <w:right w:val="nil"/>
            </w:tcBorders>
            <w:shd w:val="clear" w:color="auto" w:fill="F2F2F2" w:themeFill="background1" w:themeFillShade="F2"/>
            <w:noWrap/>
            <w:vAlign w:val="bottom"/>
            <w:hideMark/>
          </w:tcPr>
          <w:p w14:paraId="3CCAE3B5" w14:textId="77777777" w:rsidR="001A63D9" w:rsidRPr="00247A75" w:rsidRDefault="001A63D9" w:rsidP="001A63D9">
            <w:pPr>
              <w:spacing w:after="0" w:line="360" w:lineRule="auto"/>
              <w:ind w:firstLineChars="100" w:firstLine="200"/>
              <w:rPr>
                <w:rFonts w:ascii="Arial" w:eastAsia="Calibri" w:hAnsi="Arial" w:cs="Arial"/>
                <w:sz w:val="20"/>
                <w:szCs w:val="20"/>
              </w:rPr>
            </w:pPr>
          </w:p>
        </w:tc>
        <w:tc>
          <w:tcPr>
            <w:tcW w:w="994" w:type="dxa"/>
            <w:tcBorders>
              <w:top w:val="nil"/>
              <w:left w:val="nil"/>
              <w:bottom w:val="single" w:sz="4" w:space="0" w:color="auto"/>
              <w:right w:val="nil"/>
            </w:tcBorders>
            <w:shd w:val="clear" w:color="auto" w:fill="F2F2F2" w:themeFill="background1" w:themeFillShade="F2"/>
            <w:noWrap/>
            <w:vAlign w:val="bottom"/>
            <w:hideMark/>
          </w:tcPr>
          <w:p w14:paraId="4E8E7BE8" w14:textId="77777777" w:rsidR="001A63D9" w:rsidRPr="00247A75" w:rsidRDefault="001A63D9" w:rsidP="001A63D9">
            <w:pPr>
              <w:spacing w:after="0" w:line="360" w:lineRule="auto"/>
              <w:ind w:firstLineChars="100" w:firstLine="200"/>
              <w:rPr>
                <w:rFonts w:ascii="Arial" w:eastAsia="Calibri"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4B34555D" w14:textId="77777777" w:rsidR="001A63D9" w:rsidRPr="00247A75" w:rsidRDefault="001A63D9" w:rsidP="001A63D9">
            <w:pPr>
              <w:spacing w:after="0" w:line="360" w:lineRule="auto"/>
              <w:jc w:val="center"/>
              <w:rPr>
                <w:rFonts w:ascii="Arial" w:eastAsia="Calibri" w:hAnsi="Arial" w:cs="Arial"/>
                <w:sz w:val="20"/>
                <w:szCs w:val="20"/>
              </w:rPr>
            </w:pPr>
            <w:r w:rsidRPr="00247A75">
              <w:rPr>
                <w:rFonts w:ascii="Arial" w:eastAsia="Calibri" w:hAnsi="Arial" w:cs="Times New Roman"/>
                <w:sz w:val="20"/>
                <w:szCs w:val="20"/>
              </w:rPr>
              <w:t>EC0010</w:t>
            </w:r>
          </w:p>
        </w:tc>
        <w:tc>
          <w:tcPr>
            <w:tcW w:w="991"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31BBA1B5" w14:textId="77777777" w:rsidR="001A63D9" w:rsidRPr="00247A75" w:rsidRDefault="001A63D9" w:rsidP="001A63D9">
            <w:pPr>
              <w:spacing w:after="0" w:line="360" w:lineRule="auto"/>
              <w:jc w:val="center"/>
              <w:rPr>
                <w:rFonts w:ascii="Arial" w:eastAsia="Calibri" w:hAnsi="Arial" w:cs="Arial"/>
                <w:sz w:val="20"/>
                <w:szCs w:val="20"/>
              </w:rPr>
            </w:pPr>
            <w:r w:rsidRPr="00247A75">
              <w:rPr>
                <w:rFonts w:ascii="Arial" w:eastAsia="Calibri" w:hAnsi="Arial" w:cs="Times New Roman"/>
                <w:sz w:val="20"/>
                <w:szCs w:val="20"/>
              </w:rPr>
              <w:t>EC0020</w:t>
            </w:r>
          </w:p>
        </w:tc>
        <w:tc>
          <w:tcPr>
            <w:tcW w:w="1843"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06377D31" w14:textId="77777777" w:rsidR="001A63D9" w:rsidRPr="00247A75" w:rsidRDefault="001A63D9" w:rsidP="001A63D9">
            <w:pPr>
              <w:spacing w:after="0" w:line="360" w:lineRule="auto"/>
              <w:jc w:val="center"/>
              <w:rPr>
                <w:rFonts w:ascii="Arial" w:eastAsia="Calibri" w:hAnsi="Arial" w:cs="Arial"/>
                <w:sz w:val="20"/>
                <w:szCs w:val="20"/>
              </w:rPr>
            </w:pPr>
            <w:r w:rsidRPr="00247A75">
              <w:rPr>
                <w:rFonts w:ascii="Arial" w:eastAsia="Calibri" w:hAnsi="Arial" w:cs="Times New Roman"/>
                <w:sz w:val="20"/>
                <w:szCs w:val="20"/>
              </w:rPr>
              <w:t>EC0</w:t>
            </w:r>
            <w:r>
              <w:rPr>
                <w:rFonts w:ascii="Arial" w:eastAsia="Calibri" w:hAnsi="Arial" w:cs="Times New Roman"/>
                <w:sz w:val="20"/>
                <w:szCs w:val="20"/>
              </w:rPr>
              <w:t>12</w:t>
            </w:r>
            <w:r w:rsidRPr="00247A75">
              <w:rPr>
                <w:rFonts w:ascii="Arial" w:eastAsia="Calibri" w:hAnsi="Arial" w:cs="Times New Roman"/>
                <w:sz w:val="20"/>
                <w:szCs w:val="20"/>
              </w:rPr>
              <w:t>0</w:t>
            </w:r>
          </w:p>
        </w:tc>
      </w:tr>
      <w:tr w:rsidR="001A63D9" w:rsidRPr="00247A75" w14:paraId="6B79412E" w14:textId="77777777" w:rsidTr="001A63D9">
        <w:trPr>
          <w:trHeight w:val="300"/>
        </w:trPr>
        <w:tc>
          <w:tcPr>
            <w:tcW w:w="398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058B489A" w14:textId="77777777" w:rsidR="001A63D9" w:rsidRPr="00247A75" w:rsidRDefault="001A63D9" w:rsidP="001A63D9">
            <w:pPr>
              <w:rPr>
                <w:rFonts w:ascii="Arial" w:eastAsia="Calibri" w:hAnsi="Arial" w:cs="Arial"/>
                <w:sz w:val="20"/>
                <w:szCs w:val="20"/>
              </w:rPr>
            </w:pPr>
            <w:r w:rsidRPr="001A0753">
              <w:rPr>
                <w:rFonts w:ascii="Arial" w:eastAsia="Calibri" w:hAnsi="Arial" w:cs="Arial"/>
                <w:sz w:val="20"/>
                <w:szCs w:val="20"/>
              </w:rPr>
              <w:t>13. Réserves techniques (SEC 2010: F.6)</w:t>
            </w:r>
          </w:p>
        </w:tc>
        <w:tc>
          <w:tcPr>
            <w:tcW w:w="994"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4B6CDE69" w14:textId="77777777" w:rsidR="001A63D9" w:rsidRPr="00247A75" w:rsidRDefault="001A63D9" w:rsidP="001A63D9">
            <w:pPr>
              <w:spacing w:after="0" w:line="360" w:lineRule="auto"/>
              <w:rPr>
                <w:rFonts w:ascii="Arial" w:eastAsia="Calibri" w:hAnsi="Arial" w:cs="Arial"/>
                <w:sz w:val="20"/>
                <w:szCs w:val="20"/>
              </w:rPr>
            </w:pPr>
            <w:r>
              <w:rPr>
                <w:rFonts w:ascii="Arial" w:eastAsia="Calibri" w:hAnsi="Arial" w:cs="Arial"/>
                <w:sz w:val="20"/>
                <w:szCs w:val="20"/>
              </w:rPr>
              <w:t>ER0080</w:t>
            </w:r>
          </w:p>
        </w:tc>
        <w:tc>
          <w:tcPr>
            <w:tcW w:w="992"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2A9D5144" w14:textId="77777777" w:rsidR="001A63D9" w:rsidRPr="00247A75" w:rsidRDefault="001A63D9" w:rsidP="001A63D9">
            <w:pPr>
              <w:spacing w:after="0" w:line="360" w:lineRule="auto"/>
              <w:jc w:val="center"/>
              <w:rPr>
                <w:rFonts w:ascii="Arial" w:eastAsia="Calibri" w:hAnsi="Arial" w:cs="Arial"/>
                <w:sz w:val="20"/>
                <w:szCs w:val="20"/>
              </w:rPr>
            </w:pPr>
            <w:r w:rsidRPr="00247A75">
              <w:rPr>
                <w:rFonts w:ascii="Arial" w:eastAsia="Calibri" w:hAnsi="Arial" w:cs="Times New Roman"/>
                <w:sz w:val="20"/>
                <w:szCs w:val="20"/>
              </w:rPr>
              <w:t>+135</w:t>
            </w:r>
          </w:p>
        </w:tc>
        <w:tc>
          <w:tcPr>
            <w:tcW w:w="991"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70435F7D" w14:textId="77777777" w:rsidR="001A63D9" w:rsidRPr="00DF744A" w:rsidRDefault="001A63D9" w:rsidP="001A63D9">
            <w:pPr>
              <w:spacing w:after="0" w:line="360" w:lineRule="auto"/>
              <w:jc w:val="center"/>
              <w:rPr>
                <w:rFonts w:ascii="Arial" w:eastAsia="Calibri" w:hAnsi="Arial" w:cs="Times New Roman"/>
                <w:sz w:val="20"/>
                <w:szCs w:val="20"/>
              </w:rPr>
            </w:pPr>
            <w:r w:rsidRPr="00247A75">
              <w:rPr>
                <w:rFonts w:ascii="Arial" w:eastAsia="Calibri" w:hAnsi="Arial" w:cs="Times New Roman"/>
                <w:sz w:val="20"/>
                <w:szCs w:val="20"/>
              </w:rPr>
              <w:t>+135</w:t>
            </w:r>
          </w:p>
        </w:tc>
        <w:tc>
          <w:tcPr>
            <w:tcW w:w="1843"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F2F2F2" w:themeFill="background1" w:themeFillShade="F2"/>
            <w:noWrap/>
            <w:vAlign w:val="center"/>
            <w:hideMark/>
          </w:tcPr>
          <w:p w14:paraId="63B32AAE" w14:textId="77777777" w:rsidR="001A63D9" w:rsidRPr="0070301E" w:rsidRDefault="001A63D9" w:rsidP="001A63D9">
            <w:pPr>
              <w:spacing w:after="0" w:line="360" w:lineRule="auto"/>
              <w:jc w:val="center"/>
              <w:rPr>
                <w:rFonts w:ascii="Arial" w:eastAsia="Calibri" w:hAnsi="Arial" w:cs="Times New Roman"/>
                <w:sz w:val="20"/>
                <w:szCs w:val="20"/>
              </w:rPr>
            </w:pPr>
          </w:p>
        </w:tc>
      </w:tr>
      <w:tr w:rsidR="001A63D9" w:rsidRPr="00247A75" w14:paraId="4841D5E5" w14:textId="77777777" w:rsidTr="001A63D9">
        <w:trPr>
          <w:trHeight w:val="300"/>
        </w:trPr>
        <w:tc>
          <w:tcPr>
            <w:tcW w:w="398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25C67819" w14:textId="77777777" w:rsidR="001A63D9" w:rsidRPr="00247A75" w:rsidRDefault="001A63D9" w:rsidP="001A63D9">
            <w:pPr>
              <w:spacing w:after="0" w:line="360" w:lineRule="auto"/>
              <w:rPr>
                <w:rFonts w:ascii="Arial" w:eastAsia="Calibri" w:hAnsi="Arial" w:cs="Arial"/>
                <w:sz w:val="20"/>
                <w:szCs w:val="20"/>
              </w:rPr>
            </w:pPr>
            <w:r>
              <w:rPr>
                <w:rFonts w:ascii="Arial" w:eastAsia="Calibri" w:hAnsi="Arial" w:cs="Arial"/>
                <w:sz w:val="20"/>
                <w:szCs w:val="20"/>
              </w:rPr>
              <w:t>13.1 D</w:t>
            </w:r>
            <w:r w:rsidRPr="001A0753">
              <w:rPr>
                <w:rFonts w:ascii="Arial" w:eastAsia="Calibri" w:hAnsi="Arial" w:cs="Arial"/>
                <w:sz w:val="20"/>
                <w:szCs w:val="20"/>
              </w:rPr>
              <w:t>roits à pension (SEC 2010 : F.63)</w:t>
            </w:r>
            <w:r>
              <w:rPr>
                <w:rFonts w:ascii="Arial" w:eastAsia="Calibri" w:hAnsi="Arial" w:cs="Arial"/>
                <w:sz w:val="20"/>
                <w:szCs w:val="20"/>
              </w:rPr>
              <w:t xml:space="preserve"> </w:t>
            </w:r>
          </w:p>
        </w:tc>
        <w:tc>
          <w:tcPr>
            <w:tcW w:w="994"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49FA309F" w14:textId="77777777" w:rsidR="001A63D9" w:rsidRPr="00247A75" w:rsidRDefault="001A63D9" w:rsidP="001A63D9">
            <w:pPr>
              <w:spacing w:after="0" w:line="360" w:lineRule="auto"/>
              <w:rPr>
                <w:rFonts w:ascii="Arial" w:eastAsia="Calibri" w:hAnsi="Arial" w:cs="Arial"/>
                <w:sz w:val="20"/>
                <w:szCs w:val="20"/>
              </w:rPr>
            </w:pPr>
            <w:r>
              <w:rPr>
                <w:rFonts w:ascii="Arial" w:eastAsia="Calibri" w:hAnsi="Arial" w:cs="Arial"/>
                <w:sz w:val="20"/>
                <w:szCs w:val="20"/>
              </w:rPr>
              <w:t>ER0090</w:t>
            </w:r>
          </w:p>
        </w:tc>
        <w:tc>
          <w:tcPr>
            <w:tcW w:w="992"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1E281FED" w14:textId="77777777" w:rsidR="001A63D9" w:rsidRPr="00247A75" w:rsidRDefault="001A63D9" w:rsidP="001A63D9">
            <w:pPr>
              <w:spacing w:after="0" w:line="360" w:lineRule="auto"/>
              <w:jc w:val="center"/>
              <w:rPr>
                <w:rFonts w:ascii="Arial" w:eastAsia="Calibri" w:hAnsi="Arial" w:cs="Arial"/>
                <w:sz w:val="20"/>
                <w:szCs w:val="20"/>
              </w:rPr>
            </w:pPr>
            <w:r w:rsidRPr="00247A75">
              <w:rPr>
                <w:rFonts w:ascii="Arial" w:eastAsia="Calibri" w:hAnsi="Arial" w:cs="Times New Roman"/>
                <w:sz w:val="20"/>
                <w:szCs w:val="20"/>
              </w:rPr>
              <w:t>+135</w:t>
            </w:r>
          </w:p>
        </w:tc>
        <w:tc>
          <w:tcPr>
            <w:tcW w:w="991"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045D8A9D" w14:textId="77777777" w:rsidR="001A63D9" w:rsidRPr="00DF744A" w:rsidRDefault="001A63D9" w:rsidP="001A63D9">
            <w:pPr>
              <w:spacing w:after="0" w:line="360" w:lineRule="auto"/>
              <w:jc w:val="center"/>
              <w:rPr>
                <w:rFonts w:ascii="Arial" w:eastAsia="Calibri" w:hAnsi="Arial" w:cs="Times New Roman"/>
                <w:sz w:val="20"/>
                <w:szCs w:val="20"/>
              </w:rPr>
            </w:pPr>
            <w:r w:rsidRPr="00247A75">
              <w:rPr>
                <w:rFonts w:ascii="Arial" w:eastAsia="Calibri" w:hAnsi="Arial" w:cs="Times New Roman"/>
                <w:sz w:val="20"/>
                <w:szCs w:val="20"/>
              </w:rPr>
              <w:t>+135</w:t>
            </w:r>
          </w:p>
        </w:tc>
        <w:tc>
          <w:tcPr>
            <w:tcW w:w="1843"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139B4F67" w14:textId="77777777" w:rsidR="001A63D9" w:rsidRPr="00DF744A" w:rsidRDefault="001A63D9" w:rsidP="001A63D9">
            <w:pPr>
              <w:spacing w:after="0" w:line="360" w:lineRule="auto"/>
              <w:jc w:val="center"/>
              <w:rPr>
                <w:rFonts w:ascii="Arial" w:eastAsia="Calibri" w:hAnsi="Arial" w:cs="Times New Roman"/>
                <w:sz w:val="20"/>
                <w:szCs w:val="20"/>
              </w:rPr>
            </w:pPr>
            <w:r w:rsidRPr="00247A75">
              <w:rPr>
                <w:rFonts w:ascii="Arial" w:eastAsia="Calibri" w:hAnsi="Arial" w:cs="Times New Roman"/>
                <w:sz w:val="20"/>
                <w:szCs w:val="20"/>
              </w:rPr>
              <w:t>+135</w:t>
            </w:r>
          </w:p>
        </w:tc>
      </w:tr>
      <w:tr w:rsidR="001A63D9" w:rsidRPr="00247A75" w14:paraId="5403FB9C" w14:textId="77777777" w:rsidTr="001A63D9">
        <w:trPr>
          <w:trHeight w:val="300"/>
        </w:trPr>
        <w:tc>
          <w:tcPr>
            <w:tcW w:w="398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20B783DE" w14:textId="77777777" w:rsidR="001A63D9" w:rsidRPr="00247A75" w:rsidRDefault="001A63D9" w:rsidP="001A63D9">
            <w:pPr>
              <w:spacing w:after="0" w:line="360" w:lineRule="auto"/>
              <w:rPr>
                <w:rFonts w:ascii="Arial" w:eastAsia="Calibri" w:hAnsi="Arial" w:cs="Arial"/>
                <w:sz w:val="20"/>
                <w:szCs w:val="20"/>
              </w:rPr>
            </w:pPr>
            <w:r>
              <w:rPr>
                <w:rFonts w:ascii="Arial" w:eastAsia="Calibri" w:hAnsi="Arial" w:cs="Arial"/>
                <w:sz w:val="20"/>
                <w:szCs w:val="20"/>
              </w:rPr>
              <w:t xml:space="preserve">Dont </w:t>
            </w:r>
            <w:r w:rsidRPr="001A0753">
              <w:rPr>
                <w:rFonts w:ascii="Arial" w:eastAsia="Calibri" w:hAnsi="Arial" w:cs="Arial"/>
                <w:sz w:val="20"/>
                <w:szCs w:val="20"/>
              </w:rPr>
              <w:t>régimes à cotisations définies</w:t>
            </w:r>
          </w:p>
        </w:tc>
        <w:tc>
          <w:tcPr>
            <w:tcW w:w="994"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3B4A8EAD" w14:textId="77777777" w:rsidR="001A63D9" w:rsidRPr="00247A75" w:rsidRDefault="001A63D9" w:rsidP="001A63D9">
            <w:pPr>
              <w:spacing w:after="0" w:line="360" w:lineRule="auto"/>
              <w:rPr>
                <w:rFonts w:ascii="Arial" w:eastAsia="Calibri" w:hAnsi="Arial" w:cs="Times New Roman"/>
                <w:sz w:val="20"/>
                <w:szCs w:val="20"/>
              </w:rPr>
            </w:pPr>
            <w:r>
              <w:rPr>
                <w:rFonts w:ascii="Arial" w:eastAsia="Calibri" w:hAnsi="Arial" w:cs="Times New Roman"/>
                <w:sz w:val="20"/>
                <w:szCs w:val="20"/>
              </w:rPr>
              <w:t>ER0100</w:t>
            </w:r>
          </w:p>
        </w:tc>
        <w:tc>
          <w:tcPr>
            <w:tcW w:w="992"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36505113" w14:textId="77777777" w:rsidR="001A63D9" w:rsidRPr="00247A75" w:rsidRDefault="001A63D9" w:rsidP="001A63D9">
            <w:pPr>
              <w:spacing w:after="0" w:line="360" w:lineRule="auto"/>
              <w:jc w:val="center"/>
              <w:rPr>
                <w:rFonts w:ascii="Arial" w:eastAsia="Calibri" w:hAnsi="Arial" w:cs="Times New Roman"/>
                <w:sz w:val="20"/>
                <w:szCs w:val="20"/>
              </w:rPr>
            </w:pPr>
            <w:r w:rsidRPr="00247A75">
              <w:rPr>
                <w:rFonts w:ascii="Arial" w:eastAsia="Calibri" w:hAnsi="Arial" w:cs="Times New Roman"/>
                <w:sz w:val="20"/>
                <w:szCs w:val="20"/>
              </w:rPr>
              <w:t>+135</w:t>
            </w:r>
          </w:p>
        </w:tc>
        <w:tc>
          <w:tcPr>
            <w:tcW w:w="991"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424311A8" w14:textId="77777777" w:rsidR="001A63D9" w:rsidRPr="00247A75" w:rsidRDefault="001A63D9" w:rsidP="001A63D9">
            <w:pPr>
              <w:spacing w:after="0" w:line="360" w:lineRule="auto"/>
              <w:jc w:val="center"/>
              <w:rPr>
                <w:rFonts w:ascii="Arial" w:eastAsia="Calibri" w:hAnsi="Arial" w:cs="Times New Roman"/>
                <w:sz w:val="20"/>
                <w:szCs w:val="20"/>
              </w:rPr>
            </w:pPr>
            <w:r w:rsidRPr="00247A75">
              <w:rPr>
                <w:rFonts w:ascii="Arial" w:eastAsia="Calibri" w:hAnsi="Arial" w:cs="Times New Roman"/>
                <w:sz w:val="20"/>
                <w:szCs w:val="20"/>
              </w:rPr>
              <w:t>+135</w:t>
            </w:r>
          </w:p>
        </w:tc>
        <w:tc>
          <w:tcPr>
            <w:tcW w:w="1843"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22092603" w14:textId="77777777" w:rsidR="001A63D9" w:rsidRPr="00DF744A" w:rsidRDefault="001A63D9" w:rsidP="001A63D9">
            <w:pPr>
              <w:spacing w:after="0" w:line="360" w:lineRule="auto"/>
              <w:jc w:val="center"/>
              <w:rPr>
                <w:rFonts w:ascii="Arial" w:eastAsia="Calibri" w:hAnsi="Arial" w:cs="Times New Roman"/>
                <w:sz w:val="20"/>
                <w:szCs w:val="20"/>
              </w:rPr>
            </w:pPr>
            <w:r w:rsidRPr="00247A75">
              <w:rPr>
                <w:rFonts w:ascii="Arial" w:eastAsia="Calibri" w:hAnsi="Arial" w:cs="Times New Roman"/>
                <w:sz w:val="20"/>
                <w:szCs w:val="20"/>
              </w:rPr>
              <w:t>+135</w:t>
            </w:r>
          </w:p>
        </w:tc>
      </w:tr>
    </w:tbl>
    <w:p w14:paraId="37D86431" w14:textId="77777777" w:rsidR="001A63D9" w:rsidRDefault="001A63D9" w:rsidP="001A63D9">
      <w:pPr>
        <w:pStyle w:val="Paragraphedeliste1"/>
        <w:ind w:left="0"/>
        <w:rPr>
          <w:rFonts w:ascii="Garamond" w:hAnsi="Garamond"/>
          <w:szCs w:val="22"/>
        </w:rPr>
      </w:pPr>
    </w:p>
    <w:p w14:paraId="03888173" w14:textId="77777777" w:rsidR="001A63D9" w:rsidRDefault="001A63D9" w:rsidP="001A63D9">
      <w:pPr>
        <w:pStyle w:val="Paragraphedeliste1"/>
        <w:ind w:left="0"/>
        <w:rPr>
          <w:rFonts w:ascii="Garamond" w:hAnsi="Garamond"/>
          <w:szCs w:val="22"/>
        </w:rPr>
      </w:pPr>
      <w:r>
        <w:rPr>
          <w:rFonts w:ascii="Garamond" w:hAnsi="Garamond"/>
          <w:szCs w:val="22"/>
        </w:rPr>
        <w:t>EP.03.01 est expliqué plus en détails dans le guide qui lui est consacré.</w:t>
      </w:r>
    </w:p>
    <w:p w14:paraId="26DABD7E" w14:textId="77777777" w:rsidR="001A63D9" w:rsidRDefault="001A63D9" w:rsidP="001A63D9">
      <w:pPr>
        <w:pStyle w:val="Paragraphedeliste1"/>
        <w:ind w:left="0"/>
        <w:rPr>
          <w:rFonts w:ascii="Garamond" w:hAnsi="Garamond"/>
          <w:szCs w:val="22"/>
        </w:rPr>
      </w:pPr>
    </w:p>
    <w:p w14:paraId="30A464C3" w14:textId="77777777" w:rsidR="001A63D9" w:rsidRDefault="001A63D9" w:rsidP="001A63D9">
      <w:pPr>
        <w:pStyle w:val="Paragraphedeliste1"/>
        <w:ind w:left="0"/>
        <w:rPr>
          <w:rFonts w:ascii="Garamond" w:hAnsi="Garamond"/>
          <w:szCs w:val="22"/>
        </w:rPr>
      </w:pPr>
      <w:r>
        <w:rPr>
          <w:rFonts w:ascii="Garamond" w:hAnsi="Garamond"/>
          <w:szCs w:val="22"/>
        </w:rPr>
        <w:t>Dans le cas où un autre changement de volume est déclaré, plus d’informations (comme la décomposition par secteur ou par maturité) peuvent être demandées par la Banque Centrale Nationale (BCN).</w:t>
      </w:r>
    </w:p>
    <w:p w14:paraId="2DBA6C73" w14:textId="77777777" w:rsidR="001A63D9" w:rsidRDefault="001A63D9" w:rsidP="001A63D9">
      <w:pPr>
        <w:pStyle w:val="Paragraphedeliste1"/>
        <w:ind w:left="0"/>
        <w:rPr>
          <w:rFonts w:ascii="Garamond" w:hAnsi="Garamond"/>
          <w:szCs w:val="22"/>
        </w:rPr>
      </w:pPr>
    </w:p>
    <w:p w14:paraId="63DF48EC" w14:textId="77777777" w:rsidR="001A63D9" w:rsidRPr="00E72750" w:rsidRDefault="001A63D9" w:rsidP="001A63D9">
      <w:pPr>
        <w:pStyle w:val="Paragraphedeliste1"/>
        <w:ind w:left="0" w:firstLine="708"/>
        <w:rPr>
          <w:rFonts w:ascii="Garamond" w:hAnsi="Garamond"/>
          <w:szCs w:val="22"/>
        </w:rPr>
        <w:sectPr w:rsidR="001A63D9" w:rsidRPr="00E72750" w:rsidSect="005B7122">
          <w:footerReference w:type="default" r:id="rId16"/>
          <w:pgSz w:w="11906" w:h="16838"/>
          <w:pgMar w:top="1417" w:right="1417" w:bottom="1417" w:left="1417" w:header="708" w:footer="708" w:gutter="0"/>
          <w:cols w:space="708"/>
          <w:docGrid w:linePitch="360"/>
        </w:sectPr>
      </w:pPr>
    </w:p>
    <w:p w14:paraId="07FD7B13" w14:textId="147A66F2" w:rsidR="001128AB" w:rsidRPr="00E72750" w:rsidRDefault="00373D13" w:rsidP="00860E67">
      <w:pPr>
        <w:spacing w:after="0" w:line="240" w:lineRule="auto"/>
        <w:rPr>
          <w:rFonts w:ascii="Garamond" w:eastAsia="Times New Roman" w:hAnsi="Garamond" w:cs="Times New Roman"/>
          <w:b/>
          <w:color w:val="003B8E"/>
          <w:lang w:eastAsia="fr-FR"/>
        </w:rPr>
      </w:pPr>
      <w:r>
        <w:rPr>
          <w:rFonts w:ascii="Garamond" w:eastAsia="Times New Roman" w:hAnsi="Garamond" w:cs="Times New Roman"/>
          <w:b/>
          <w:noProof/>
          <w:color w:val="003B8E"/>
          <w:lang w:eastAsia="fr-FR"/>
        </w:rPr>
        <w:drawing>
          <wp:inline distT="0" distB="0" distL="0" distR="0" wp14:anchorId="12E8DB9A" wp14:editId="7DCE172A">
            <wp:extent cx="5887778" cy="7517423"/>
            <wp:effectExtent l="0" t="0" r="0" b="762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96954" cy="7529138"/>
                    </a:xfrm>
                    <a:prstGeom prst="rect">
                      <a:avLst/>
                    </a:prstGeom>
                    <a:noFill/>
                    <a:ln>
                      <a:noFill/>
                    </a:ln>
                  </pic:spPr>
                </pic:pic>
              </a:graphicData>
            </a:graphic>
          </wp:inline>
        </w:drawing>
      </w:r>
    </w:p>
    <w:p w14:paraId="22674C9D" w14:textId="77777777" w:rsidR="001128AB" w:rsidRPr="00CA246B" w:rsidRDefault="001128AB" w:rsidP="00611F68">
      <w:pPr>
        <w:spacing w:after="0" w:line="240" w:lineRule="auto"/>
        <w:jc w:val="center"/>
        <w:rPr>
          <w:rFonts w:ascii="Garamond" w:eastAsia="Times New Roman" w:hAnsi="Garamond" w:cs="Times New Roman"/>
          <w:b/>
          <w:color w:val="003B8E"/>
          <w:lang w:eastAsia="fr-FR"/>
        </w:rPr>
      </w:pPr>
    </w:p>
    <w:p w14:paraId="6FF2EC2A" w14:textId="77777777" w:rsidR="001128AB" w:rsidRPr="00CA246B" w:rsidRDefault="001128AB" w:rsidP="00611F68">
      <w:pPr>
        <w:spacing w:after="0" w:line="240" w:lineRule="auto"/>
        <w:jc w:val="center"/>
        <w:rPr>
          <w:rFonts w:ascii="Garamond" w:eastAsia="Times New Roman" w:hAnsi="Garamond" w:cs="Times New Roman"/>
          <w:b/>
          <w:color w:val="003B8E"/>
          <w:lang w:eastAsia="fr-FR"/>
        </w:rPr>
      </w:pPr>
    </w:p>
    <w:p w14:paraId="555AEBE3" w14:textId="77777777" w:rsidR="001128AB" w:rsidRPr="00CA246B" w:rsidRDefault="001128AB" w:rsidP="00611F68">
      <w:pPr>
        <w:spacing w:after="0" w:line="240" w:lineRule="auto"/>
        <w:jc w:val="center"/>
        <w:rPr>
          <w:rFonts w:ascii="Garamond" w:eastAsia="Times New Roman" w:hAnsi="Garamond" w:cs="Times New Roman"/>
          <w:b/>
          <w:color w:val="003B8E"/>
          <w:lang w:eastAsia="fr-FR"/>
        </w:rPr>
      </w:pPr>
    </w:p>
    <w:p w14:paraId="1C183B35" w14:textId="77777777" w:rsidR="001128AB" w:rsidRPr="00CA246B" w:rsidRDefault="001128AB" w:rsidP="00611F68">
      <w:pPr>
        <w:spacing w:after="0" w:line="240" w:lineRule="auto"/>
        <w:jc w:val="center"/>
        <w:rPr>
          <w:rFonts w:ascii="Garamond" w:eastAsia="Times New Roman" w:hAnsi="Garamond" w:cs="Times New Roman"/>
          <w:b/>
          <w:color w:val="003B8E"/>
          <w:lang w:eastAsia="fr-FR"/>
        </w:rPr>
      </w:pPr>
    </w:p>
    <w:p w14:paraId="68A42EA0" w14:textId="77777777" w:rsidR="001128AB" w:rsidRPr="00CA246B" w:rsidRDefault="001128AB" w:rsidP="00611F68">
      <w:pPr>
        <w:spacing w:after="0" w:line="240" w:lineRule="auto"/>
        <w:jc w:val="center"/>
        <w:rPr>
          <w:rFonts w:ascii="Garamond" w:eastAsia="Times New Roman" w:hAnsi="Garamond" w:cs="Times New Roman"/>
          <w:b/>
          <w:color w:val="003B8E"/>
          <w:lang w:eastAsia="fr-FR"/>
        </w:rPr>
      </w:pPr>
    </w:p>
    <w:p w14:paraId="7D9DB02D" w14:textId="77777777" w:rsidR="001128AB" w:rsidRDefault="001128AB" w:rsidP="00611F68">
      <w:pPr>
        <w:spacing w:after="0" w:line="240" w:lineRule="auto"/>
        <w:jc w:val="center"/>
        <w:rPr>
          <w:rFonts w:ascii="Garamond" w:eastAsia="Times New Roman" w:hAnsi="Garamond" w:cs="Times New Roman"/>
          <w:b/>
          <w:color w:val="003B8E"/>
          <w:lang w:eastAsia="fr-FR"/>
        </w:rPr>
      </w:pPr>
    </w:p>
    <w:p w14:paraId="257C9873" w14:textId="77777777" w:rsidR="00007464" w:rsidRDefault="00007464" w:rsidP="00611F68">
      <w:pPr>
        <w:spacing w:after="0" w:line="240" w:lineRule="auto"/>
        <w:jc w:val="center"/>
        <w:rPr>
          <w:rFonts w:ascii="Garamond" w:eastAsia="Times New Roman" w:hAnsi="Garamond" w:cs="Times New Roman"/>
          <w:b/>
          <w:color w:val="003B8E"/>
          <w:lang w:eastAsia="fr-FR"/>
        </w:rPr>
      </w:pPr>
    </w:p>
    <w:p w14:paraId="37F12F0C" w14:textId="77777777" w:rsidR="00007464" w:rsidRDefault="00007464" w:rsidP="00611F68">
      <w:pPr>
        <w:spacing w:after="0" w:line="240" w:lineRule="auto"/>
        <w:jc w:val="center"/>
        <w:rPr>
          <w:rFonts w:ascii="Garamond" w:eastAsia="Times New Roman" w:hAnsi="Garamond" w:cs="Times New Roman"/>
          <w:b/>
          <w:color w:val="003B8E"/>
          <w:lang w:eastAsia="fr-FR"/>
        </w:rPr>
      </w:pPr>
    </w:p>
    <w:p w14:paraId="0FD57360" w14:textId="7FBB5233" w:rsidR="00BF3CE3" w:rsidRDefault="002A3487" w:rsidP="00E71856">
      <w:pPr>
        <w:spacing w:after="0" w:line="240" w:lineRule="auto"/>
        <w:rPr>
          <w:rFonts w:ascii="Garamond" w:eastAsia="Times New Roman" w:hAnsi="Garamond" w:cs="Times New Roman"/>
          <w:b/>
          <w:color w:val="003B8E"/>
          <w:lang w:eastAsia="fr-FR"/>
        </w:rPr>
      </w:pPr>
      <w:r>
        <w:rPr>
          <w:rFonts w:ascii="Garamond" w:eastAsia="Times New Roman" w:hAnsi="Garamond" w:cs="Times New Roman"/>
          <w:b/>
          <w:noProof/>
          <w:color w:val="003B8E"/>
          <w:lang w:eastAsia="fr-FR"/>
        </w:rPr>
        <w:drawing>
          <wp:inline distT="0" distB="0" distL="0" distR="0" wp14:anchorId="06F54777" wp14:editId="620154C3">
            <wp:extent cx="5758962" cy="8800364"/>
            <wp:effectExtent l="0" t="0" r="0" b="127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65198" cy="8809893"/>
                    </a:xfrm>
                    <a:prstGeom prst="rect">
                      <a:avLst/>
                    </a:prstGeom>
                    <a:noFill/>
                    <a:ln>
                      <a:noFill/>
                    </a:ln>
                  </pic:spPr>
                </pic:pic>
              </a:graphicData>
            </a:graphic>
          </wp:inline>
        </w:drawing>
      </w:r>
    </w:p>
    <w:sectPr w:rsidR="00BF3CE3" w:rsidSect="00DD04AC">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59CB4E" w14:textId="77777777" w:rsidR="00307392" w:rsidRDefault="00307392" w:rsidP="0027298A">
      <w:pPr>
        <w:spacing w:after="0" w:line="240" w:lineRule="auto"/>
      </w:pPr>
      <w:r>
        <w:separator/>
      </w:r>
    </w:p>
  </w:endnote>
  <w:endnote w:type="continuationSeparator" w:id="0">
    <w:p w14:paraId="02364175" w14:textId="77777777" w:rsidR="00307392" w:rsidRDefault="00307392" w:rsidP="002729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5285072"/>
      <w:docPartObj>
        <w:docPartGallery w:val="Page Numbers (Bottom of Page)"/>
        <w:docPartUnique/>
      </w:docPartObj>
    </w:sdtPr>
    <w:sdtEndPr/>
    <w:sdtContent>
      <w:p w14:paraId="38838985" w14:textId="26893242" w:rsidR="00307392" w:rsidRDefault="00307392">
        <w:pPr>
          <w:pStyle w:val="Pieddepage"/>
          <w:jc w:val="right"/>
        </w:pPr>
        <w:r>
          <w:fldChar w:fldCharType="begin"/>
        </w:r>
        <w:r>
          <w:instrText>PAGE   \* MERGEFORMAT</w:instrText>
        </w:r>
        <w:r>
          <w:fldChar w:fldCharType="separate"/>
        </w:r>
        <w:r w:rsidR="00DD04AC">
          <w:rPr>
            <w:noProof/>
          </w:rPr>
          <w:t>10</w:t>
        </w:r>
        <w:r>
          <w:fldChar w:fldCharType="end"/>
        </w:r>
      </w:p>
    </w:sdtContent>
  </w:sdt>
  <w:p w14:paraId="293F7554" w14:textId="77777777" w:rsidR="00307392" w:rsidRDefault="0030739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29616A" w14:textId="77777777" w:rsidR="00307392" w:rsidRDefault="00307392" w:rsidP="0027298A">
      <w:pPr>
        <w:spacing w:after="0" w:line="240" w:lineRule="auto"/>
      </w:pPr>
      <w:r>
        <w:separator/>
      </w:r>
    </w:p>
  </w:footnote>
  <w:footnote w:type="continuationSeparator" w:id="0">
    <w:p w14:paraId="3926FC9F" w14:textId="77777777" w:rsidR="00307392" w:rsidRDefault="00307392" w:rsidP="0027298A">
      <w:pPr>
        <w:spacing w:after="0" w:line="240" w:lineRule="auto"/>
      </w:pPr>
      <w:r>
        <w:continuationSeparator/>
      </w:r>
    </w:p>
  </w:footnote>
  <w:footnote w:id="1">
    <w:p w14:paraId="69DE9CE7" w14:textId="77777777" w:rsidR="00307392" w:rsidRDefault="00307392" w:rsidP="001A63D9">
      <w:pPr>
        <w:pStyle w:val="Notedebasdepage"/>
      </w:pPr>
      <w:r>
        <w:rPr>
          <w:rStyle w:val="Appelnotedebasdep"/>
        </w:rPr>
        <w:footnoteRef/>
      </w:r>
      <w:r>
        <w:t xml:space="preserve"> « A</w:t>
      </w:r>
      <w:r w:rsidRPr="00DF2B1A">
        <w:t>justements de reclassements</w:t>
      </w:r>
      <w:r>
        <w:t> », « reclassifications »</w:t>
      </w:r>
      <w:r w:rsidRPr="00DF2B1A">
        <w:t xml:space="preserve"> et </w:t>
      </w:r>
      <w:r>
        <w:t>« </w:t>
      </w:r>
      <w:r w:rsidRPr="00DF2B1A">
        <w:t>autres changements de volume</w:t>
      </w:r>
      <w:r>
        <w:t> »</w:t>
      </w:r>
      <w:r w:rsidRPr="00DF2B1A">
        <w:t xml:space="preserve"> sont synonymes.</w:t>
      </w:r>
      <w:r>
        <w:t xml:space="preserve"> Ces trois termes traduisent « Reclassification </w:t>
      </w:r>
      <w:proofErr w:type="spellStart"/>
      <w:r>
        <w:t>adjustments</w:t>
      </w:r>
      <w:proofErr w:type="spellEnd"/>
      <w:r>
        <w:t>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12478"/>
    <w:multiLevelType w:val="hybridMultilevel"/>
    <w:tmpl w:val="A396501E"/>
    <w:lvl w:ilvl="0" w:tplc="27C2B91A">
      <w:numFmt w:val="bullet"/>
      <w:lvlText w:val="-"/>
      <w:lvlJc w:val="left"/>
      <w:pPr>
        <w:ind w:left="360" w:hanging="360"/>
      </w:pPr>
      <w:rPr>
        <w:rFonts w:ascii="Calibri" w:eastAsiaTheme="minorHAnsi" w:hAnsi="Calibri" w:cstheme="minorBidi"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 w15:restartNumberingAfterBreak="0">
    <w:nsid w:val="077003F6"/>
    <w:multiLevelType w:val="hybridMultilevel"/>
    <w:tmpl w:val="25AC9F20"/>
    <w:lvl w:ilvl="0" w:tplc="03F2D5D0">
      <w:start w:val="1"/>
      <w:numFmt w:val="decimal"/>
      <w:lvlText w:val="%1."/>
      <w:lvlJc w:val="left"/>
      <w:pPr>
        <w:ind w:left="1800" w:hanging="360"/>
      </w:pPr>
      <w:rPr>
        <w:rFonts w:ascii="Times New Roman" w:eastAsia="Times New Roman" w:hAnsi="Times New Roman" w:cs="Times New Roman"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 w15:restartNumberingAfterBreak="0">
    <w:nsid w:val="0A866E4D"/>
    <w:multiLevelType w:val="hybridMultilevel"/>
    <w:tmpl w:val="58A65CE4"/>
    <w:lvl w:ilvl="0" w:tplc="040C000F">
      <w:start w:val="1"/>
      <w:numFmt w:val="decimal"/>
      <w:lvlText w:val="%1."/>
      <w:lvlJc w:val="left"/>
      <w:pPr>
        <w:ind w:left="720" w:hanging="360"/>
      </w:pPr>
      <w:rPr>
        <w:rFonts w:eastAsia="Times New Roman" w:cs="Times New Roman"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DCB5FB3"/>
    <w:multiLevelType w:val="hybridMultilevel"/>
    <w:tmpl w:val="986CEBE0"/>
    <w:lvl w:ilvl="0" w:tplc="0926798E">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2E6907"/>
    <w:multiLevelType w:val="hybridMultilevel"/>
    <w:tmpl w:val="F98CFF6A"/>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 w15:restartNumberingAfterBreak="0">
    <w:nsid w:val="16C367BA"/>
    <w:multiLevelType w:val="hybridMultilevel"/>
    <w:tmpl w:val="367C938A"/>
    <w:lvl w:ilvl="0" w:tplc="522014C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6E755D5"/>
    <w:multiLevelType w:val="hybridMultilevel"/>
    <w:tmpl w:val="25AC9F20"/>
    <w:lvl w:ilvl="0" w:tplc="03F2D5D0">
      <w:start w:val="1"/>
      <w:numFmt w:val="decimal"/>
      <w:lvlText w:val="%1."/>
      <w:lvlJc w:val="left"/>
      <w:pPr>
        <w:ind w:left="1800" w:hanging="360"/>
      </w:pPr>
      <w:rPr>
        <w:rFonts w:ascii="Times New Roman" w:eastAsia="Times New Roman" w:hAnsi="Times New Roman" w:cs="Times New Roman"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7" w15:restartNumberingAfterBreak="0">
    <w:nsid w:val="19BB44D0"/>
    <w:multiLevelType w:val="hybridMultilevel"/>
    <w:tmpl w:val="25AC9F20"/>
    <w:lvl w:ilvl="0" w:tplc="03F2D5D0">
      <w:start w:val="1"/>
      <w:numFmt w:val="decimal"/>
      <w:lvlText w:val="%1."/>
      <w:lvlJc w:val="left"/>
      <w:pPr>
        <w:ind w:left="1800" w:hanging="360"/>
      </w:pPr>
      <w:rPr>
        <w:rFonts w:ascii="Times New Roman" w:eastAsia="Times New Roman" w:hAnsi="Times New Roman" w:cs="Times New Roman"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8" w15:restartNumberingAfterBreak="0">
    <w:nsid w:val="19CB441C"/>
    <w:multiLevelType w:val="hybridMultilevel"/>
    <w:tmpl w:val="73E6CC0E"/>
    <w:lvl w:ilvl="0" w:tplc="11EE4528">
      <w:start w:val="1"/>
      <w:numFmt w:val="decimal"/>
      <w:lvlText w:val="%1"/>
      <w:lvlJc w:val="left"/>
      <w:pPr>
        <w:ind w:left="1440" w:hanging="360"/>
      </w:pPr>
      <w:rPr>
        <w:rFonts w:ascii="Times New Roman" w:eastAsia="Times New Roman" w:hAnsi="Times New Roman" w:cs="Times New Roman"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9" w15:restartNumberingAfterBreak="0">
    <w:nsid w:val="23150FFA"/>
    <w:multiLevelType w:val="hybridMultilevel"/>
    <w:tmpl w:val="459E33CA"/>
    <w:lvl w:ilvl="0" w:tplc="5DF4D642">
      <w:start w:val="9"/>
      <w:numFmt w:val="bullet"/>
      <w:lvlText w:val="-"/>
      <w:lvlJc w:val="left"/>
      <w:pPr>
        <w:ind w:left="1080" w:hanging="360"/>
      </w:pPr>
      <w:rPr>
        <w:rFonts w:ascii="Times New Roman" w:eastAsia="Cambria"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2A524E0C"/>
    <w:multiLevelType w:val="hybridMultilevel"/>
    <w:tmpl w:val="C130FE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73F2368"/>
    <w:multiLevelType w:val="hybridMultilevel"/>
    <w:tmpl w:val="25AC9F20"/>
    <w:lvl w:ilvl="0" w:tplc="03F2D5D0">
      <w:start w:val="1"/>
      <w:numFmt w:val="decimal"/>
      <w:lvlText w:val="%1."/>
      <w:lvlJc w:val="left"/>
      <w:pPr>
        <w:ind w:left="1800" w:hanging="360"/>
      </w:pPr>
      <w:rPr>
        <w:rFonts w:ascii="Times New Roman" w:eastAsia="Times New Roman" w:hAnsi="Times New Roman" w:cs="Times New Roman"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12" w15:restartNumberingAfterBreak="0">
    <w:nsid w:val="38304CE7"/>
    <w:multiLevelType w:val="hybridMultilevel"/>
    <w:tmpl w:val="25AC9F20"/>
    <w:lvl w:ilvl="0" w:tplc="03F2D5D0">
      <w:start w:val="1"/>
      <w:numFmt w:val="decimal"/>
      <w:lvlText w:val="%1."/>
      <w:lvlJc w:val="left"/>
      <w:pPr>
        <w:ind w:left="1800" w:hanging="360"/>
      </w:pPr>
      <w:rPr>
        <w:rFonts w:ascii="Times New Roman" w:eastAsia="Times New Roman" w:hAnsi="Times New Roman" w:cs="Times New Roman"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13" w15:restartNumberingAfterBreak="0">
    <w:nsid w:val="385261DC"/>
    <w:multiLevelType w:val="hybridMultilevel"/>
    <w:tmpl w:val="18446D52"/>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4" w15:restartNumberingAfterBreak="0">
    <w:nsid w:val="3BAC70AF"/>
    <w:multiLevelType w:val="hybridMultilevel"/>
    <w:tmpl w:val="23F837C6"/>
    <w:lvl w:ilvl="0" w:tplc="03F2D5D0">
      <w:start w:val="1"/>
      <w:numFmt w:val="decimal"/>
      <w:lvlText w:val="%1."/>
      <w:lvlJc w:val="left"/>
      <w:pPr>
        <w:ind w:left="1800" w:hanging="360"/>
      </w:pPr>
      <w:rPr>
        <w:rFonts w:ascii="Times New Roman" w:eastAsia="Times New Roman" w:hAnsi="Times New Roman" w:cs="Times New Roman"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15" w15:restartNumberingAfterBreak="0">
    <w:nsid w:val="3F444640"/>
    <w:multiLevelType w:val="hybridMultilevel"/>
    <w:tmpl w:val="AE3EFC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4C44EE5"/>
    <w:multiLevelType w:val="hybridMultilevel"/>
    <w:tmpl w:val="25AC9F20"/>
    <w:lvl w:ilvl="0" w:tplc="03F2D5D0">
      <w:start w:val="1"/>
      <w:numFmt w:val="decimal"/>
      <w:lvlText w:val="%1."/>
      <w:lvlJc w:val="left"/>
      <w:pPr>
        <w:ind w:left="1800" w:hanging="360"/>
      </w:pPr>
      <w:rPr>
        <w:rFonts w:ascii="Times New Roman" w:eastAsia="Times New Roman" w:hAnsi="Times New Roman" w:cs="Times New Roman"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17" w15:restartNumberingAfterBreak="0">
    <w:nsid w:val="460450F2"/>
    <w:multiLevelType w:val="hybridMultilevel"/>
    <w:tmpl w:val="325E9B12"/>
    <w:lvl w:ilvl="0" w:tplc="FD64830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63A7322"/>
    <w:multiLevelType w:val="hybridMultilevel"/>
    <w:tmpl w:val="97BA5A00"/>
    <w:lvl w:ilvl="0" w:tplc="F01ACB94">
      <w:start w:val="161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95916B8"/>
    <w:multiLevelType w:val="hybridMultilevel"/>
    <w:tmpl w:val="1D8AA6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B442988"/>
    <w:multiLevelType w:val="hybridMultilevel"/>
    <w:tmpl w:val="25AC9F20"/>
    <w:lvl w:ilvl="0" w:tplc="03F2D5D0">
      <w:start w:val="1"/>
      <w:numFmt w:val="decimal"/>
      <w:lvlText w:val="%1."/>
      <w:lvlJc w:val="left"/>
      <w:pPr>
        <w:ind w:left="1800" w:hanging="360"/>
      </w:pPr>
      <w:rPr>
        <w:rFonts w:ascii="Times New Roman" w:eastAsia="Times New Roman" w:hAnsi="Times New Roman" w:cs="Times New Roman"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1"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4D0B62C5"/>
    <w:multiLevelType w:val="hybridMultilevel"/>
    <w:tmpl w:val="CA547886"/>
    <w:lvl w:ilvl="0" w:tplc="E1A40C72">
      <w:start w:val="15"/>
      <w:numFmt w:val="bullet"/>
      <w:lvlText w:val=""/>
      <w:lvlJc w:val="left"/>
      <w:pPr>
        <w:ind w:left="720" w:hanging="360"/>
      </w:pPr>
      <w:rPr>
        <w:rFonts w:ascii="Wingdings" w:eastAsiaTheme="minorHAnsi" w:hAnsi="Wingdings" w:cstheme="minorBidi" w:hint="default"/>
        <w:b/>
        <w:sz w:val="19"/>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4" w15:restartNumberingAfterBreak="0">
    <w:nsid w:val="5950169D"/>
    <w:multiLevelType w:val="hybridMultilevel"/>
    <w:tmpl w:val="0D5CF6EE"/>
    <w:lvl w:ilvl="0" w:tplc="03F2D5D0">
      <w:start w:val="1"/>
      <w:numFmt w:val="decimal"/>
      <w:lvlText w:val="%1."/>
      <w:lvlJc w:val="left"/>
      <w:pPr>
        <w:ind w:left="1800" w:hanging="360"/>
      </w:pPr>
      <w:rPr>
        <w:rFonts w:ascii="Times New Roman" w:eastAsia="Times New Roman" w:hAnsi="Times New Roman" w:cs="Times New Roman"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5" w15:restartNumberingAfterBreak="0">
    <w:nsid w:val="66DD0152"/>
    <w:multiLevelType w:val="hybridMultilevel"/>
    <w:tmpl w:val="23F837C6"/>
    <w:lvl w:ilvl="0" w:tplc="03F2D5D0">
      <w:start w:val="1"/>
      <w:numFmt w:val="decimal"/>
      <w:lvlText w:val="%1."/>
      <w:lvlJc w:val="left"/>
      <w:pPr>
        <w:ind w:left="1800" w:hanging="360"/>
      </w:pPr>
      <w:rPr>
        <w:rFonts w:ascii="Times New Roman" w:eastAsia="Times New Roman" w:hAnsi="Times New Roman" w:cs="Times New Roman"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6" w15:restartNumberingAfterBreak="0">
    <w:nsid w:val="70930B6F"/>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7" w15:restartNumberingAfterBreak="0">
    <w:nsid w:val="71353F78"/>
    <w:multiLevelType w:val="hybridMultilevel"/>
    <w:tmpl w:val="13FAA43C"/>
    <w:lvl w:ilvl="0" w:tplc="77882A4C">
      <w:start w:val="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D590DB6"/>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abstractNumId w:val="22"/>
  </w:num>
  <w:num w:numId="2">
    <w:abstractNumId w:val="18"/>
  </w:num>
  <w:num w:numId="3">
    <w:abstractNumId w:val="17"/>
  </w:num>
  <w:num w:numId="4">
    <w:abstractNumId w:val="23"/>
  </w:num>
  <w:num w:numId="5">
    <w:abstractNumId w:val="26"/>
  </w:num>
  <w:num w:numId="6">
    <w:abstractNumId w:val="4"/>
  </w:num>
  <w:num w:numId="7">
    <w:abstractNumId w:val="21"/>
  </w:num>
  <w:num w:numId="8">
    <w:abstractNumId w:val="13"/>
  </w:num>
  <w:num w:numId="9">
    <w:abstractNumId w:val="27"/>
  </w:num>
  <w:num w:numId="10">
    <w:abstractNumId w:val="28"/>
  </w:num>
  <w:num w:numId="11">
    <w:abstractNumId w:val="8"/>
  </w:num>
  <w:num w:numId="12">
    <w:abstractNumId w:val="6"/>
  </w:num>
  <w:num w:numId="13">
    <w:abstractNumId w:val="5"/>
  </w:num>
  <w:num w:numId="14">
    <w:abstractNumId w:val="9"/>
  </w:num>
  <w:num w:numId="15">
    <w:abstractNumId w:val="15"/>
  </w:num>
  <w:num w:numId="16">
    <w:abstractNumId w:val="19"/>
  </w:num>
  <w:num w:numId="17">
    <w:abstractNumId w:val="10"/>
  </w:num>
  <w:num w:numId="18">
    <w:abstractNumId w:val="12"/>
  </w:num>
  <w:num w:numId="19">
    <w:abstractNumId w:val="1"/>
  </w:num>
  <w:num w:numId="20">
    <w:abstractNumId w:val="11"/>
  </w:num>
  <w:num w:numId="21">
    <w:abstractNumId w:val="3"/>
  </w:num>
  <w:num w:numId="22">
    <w:abstractNumId w:val="0"/>
  </w:num>
  <w:num w:numId="23">
    <w:abstractNumId w:val="16"/>
  </w:num>
  <w:num w:numId="24">
    <w:abstractNumId w:val="20"/>
  </w:num>
  <w:num w:numId="25">
    <w:abstractNumId w:val="7"/>
  </w:num>
  <w:num w:numId="26">
    <w:abstractNumId w:val="25"/>
  </w:num>
  <w:num w:numId="27">
    <w:abstractNumId w:val="14"/>
  </w:num>
  <w:num w:numId="28">
    <w:abstractNumId w:val="24"/>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889"/>
    <w:rsid w:val="000025F7"/>
    <w:rsid w:val="00003396"/>
    <w:rsid w:val="000050F9"/>
    <w:rsid w:val="00007464"/>
    <w:rsid w:val="0001159A"/>
    <w:rsid w:val="000207BB"/>
    <w:rsid w:val="000208A7"/>
    <w:rsid w:val="000213C6"/>
    <w:rsid w:val="00031451"/>
    <w:rsid w:val="000317D6"/>
    <w:rsid w:val="000323BF"/>
    <w:rsid w:val="00040C8A"/>
    <w:rsid w:val="000548F8"/>
    <w:rsid w:val="00054A51"/>
    <w:rsid w:val="00056571"/>
    <w:rsid w:val="000616F6"/>
    <w:rsid w:val="00064771"/>
    <w:rsid w:val="000652EC"/>
    <w:rsid w:val="00076C3A"/>
    <w:rsid w:val="00086423"/>
    <w:rsid w:val="0008644D"/>
    <w:rsid w:val="000873ED"/>
    <w:rsid w:val="0009078E"/>
    <w:rsid w:val="0009364E"/>
    <w:rsid w:val="00093F50"/>
    <w:rsid w:val="000948C8"/>
    <w:rsid w:val="00096A3B"/>
    <w:rsid w:val="000A0488"/>
    <w:rsid w:val="000A0F0D"/>
    <w:rsid w:val="000A7A55"/>
    <w:rsid w:val="000B0C5A"/>
    <w:rsid w:val="000B613E"/>
    <w:rsid w:val="000C623D"/>
    <w:rsid w:val="000D789F"/>
    <w:rsid w:val="000D7C4F"/>
    <w:rsid w:val="000E275D"/>
    <w:rsid w:val="000E3356"/>
    <w:rsid w:val="000E4EE8"/>
    <w:rsid w:val="000E5DF0"/>
    <w:rsid w:val="000F3154"/>
    <w:rsid w:val="000F33C9"/>
    <w:rsid w:val="000F418D"/>
    <w:rsid w:val="000F492B"/>
    <w:rsid w:val="000F4B6E"/>
    <w:rsid w:val="001019EB"/>
    <w:rsid w:val="0010274F"/>
    <w:rsid w:val="00107C86"/>
    <w:rsid w:val="00110D4D"/>
    <w:rsid w:val="001128AB"/>
    <w:rsid w:val="001146B7"/>
    <w:rsid w:val="00115A35"/>
    <w:rsid w:val="0012296F"/>
    <w:rsid w:val="00133260"/>
    <w:rsid w:val="00144E71"/>
    <w:rsid w:val="00153905"/>
    <w:rsid w:val="00181133"/>
    <w:rsid w:val="00185E6C"/>
    <w:rsid w:val="001875B3"/>
    <w:rsid w:val="00190110"/>
    <w:rsid w:val="00190E37"/>
    <w:rsid w:val="00194846"/>
    <w:rsid w:val="00194EC3"/>
    <w:rsid w:val="001A0843"/>
    <w:rsid w:val="001A0E25"/>
    <w:rsid w:val="001A444B"/>
    <w:rsid w:val="001A4C9B"/>
    <w:rsid w:val="001A4CF1"/>
    <w:rsid w:val="001A63D9"/>
    <w:rsid w:val="001B03FB"/>
    <w:rsid w:val="001B2D5E"/>
    <w:rsid w:val="001B4058"/>
    <w:rsid w:val="001B4CAB"/>
    <w:rsid w:val="001B69DA"/>
    <w:rsid w:val="001C09D6"/>
    <w:rsid w:val="001C3298"/>
    <w:rsid w:val="001C7BA7"/>
    <w:rsid w:val="001E19FF"/>
    <w:rsid w:val="001E23BF"/>
    <w:rsid w:val="001E3BE4"/>
    <w:rsid w:val="001E437B"/>
    <w:rsid w:val="001F1378"/>
    <w:rsid w:val="001F28BA"/>
    <w:rsid w:val="001F3991"/>
    <w:rsid w:val="001F3F66"/>
    <w:rsid w:val="00202D55"/>
    <w:rsid w:val="002041FE"/>
    <w:rsid w:val="00212DFC"/>
    <w:rsid w:val="00213048"/>
    <w:rsid w:val="00217C99"/>
    <w:rsid w:val="002263BA"/>
    <w:rsid w:val="00234A67"/>
    <w:rsid w:val="00235D93"/>
    <w:rsid w:val="002360CB"/>
    <w:rsid w:val="002369A4"/>
    <w:rsid w:val="002405A1"/>
    <w:rsid w:val="002464D6"/>
    <w:rsid w:val="0025212E"/>
    <w:rsid w:val="0025604B"/>
    <w:rsid w:val="0026152A"/>
    <w:rsid w:val="0027298A"/>
    <w:rsid w:val="00276965"/>
    <w:rsid w:val="0028462F"/>
    <w:rsid w:val="002912D0"/>
    <w:rsid w:val="002922EA"/>
    <w:rsid w:val="00292BF5"/>
    <w:rsid w:val="00294CB2"/>
    <w:rsid w:val="002A3487"/>
    <w:rsid w:val="002B2D22"/>
    <w:rsid w:val="002B464F"/>
    <w:rsid w:val="002B4904"/>
    <w:rsid w:val="002C3222"/>
    <w:rsid w:val="002C44C9"/>
    <w:rsid w:val="002D0DAE"/>
    <w:rsid w:val="002E2C1D"/>
    <w:rsid w:val="002E5645"/>
    <w:rsid w:val="002E6FEA"/>
    <w:rsid w:val="002E77CD"/>
    <w:rsid w:val="002E7B08"/>
    <w:rsid w:val="002E7FFB"/>
    <w:rsid w:val="002F2EE6"/>
    <w:rsid w:val="002F51D4"/>
    <w:rsid w:val="00300526"/>
    <w:rsid w:val="00306CC2"/>
    <w:rsid w:val="00307392"/>
    <w:rsid w:val="00310737"/>
    <w:rsid w:val="00313B33"/>
    <w:rsid w:val="00315175"/>
    <w:rsid w:val="00317B5B"/>
    <w:rsid w:val="003201BA"/>
    <w:rsid w:val="00320F22"/>
    <w:rsid w:val="00323AEE"/>
    <w:rsid w:val="0032488C"/>
    <w:rsid w:val="0032645F"/>
    <w:rsid w:val="00330334"/>
    <w:rsid w:val="003318B2"/>
    <w:rsid w:val="00333265"/>
    <w:rsid w:val="00345E7D"/>
    <w:rsid w:val="0036009A"/>
    <w:rsid w:val="00361FFC"/>
    <w:rsid w:val="00363C5F"/>
    <w:rsid w:val="00373D13"/>
    <w:rsid w:val="003755F1"/>
    <w:rsid w:val="00377B53"/>
    <w:rsid w:val="00386D20"/>
    <w:rsid w:val="0039498E"/>
    <w:rsid w:val="003A11F1"/>
    <w:rsid w:val="003A65B1"/>
    <w:rsid w:val="003B29AB"/>
    <w:rsid w:val="003B4F42"/>
    <w:rsid w:val="003C0A7A"/>
    <w:rsid w:val="003C0D9F"/>
    <w:rsid w:val="003C19BD"/>
    <w:rsid w:val="003C54EC"/>
    <w:rsid w:val="003D2E43"/>
    <w:rsid w:val="003D367A"/>
    <w:rsid w:val="003D5DB7"/>
    <w:rsid w:val="003E0083"/>
    <w:rsid w:val="003E271D"/>
    <w:rsid w:val="003E3BDA"/>
    <w:rsid w:val="003E537A"/>
    <w:rsid w:val="003E70C6"/>
    <w:rsid w:val="003F1542"/>
    <w:rsid w:val="003F1D49"/>
    <w:rsid w:val="003F676F"/>
    <w:rsid w:val="00402184"/>
    <w:rsid w:val="00402670"/>
    <w:rsid w:val="004072D0"/>
    <w:rsid w:val="00407B3A"/>
    <w:rsid w:val="00410635"/>
    <w:rsid w:val="004136DE"/>
    <w:rsid w:val="004206D0"/>
    <w:rsid w:val="0042097E"/>
    <w:rsid w:val="00430906"/>
    <w:rsid w:val="00440401"/>
    <w:rsid w:val="00443AA6"/>
    <w:rsid w:val="0044462F"/>
    <w:rsid w:val="0045094D"/>
    <w:rsid w:val="0045384E"/>
    <w:rsid w:val="0045418E"/>
    <w:rsid w:val="00454DB0"/>
    <w:rsid w:val="00457D85"/>
    <w:rsid w:val="00462C72"/>
    <w:rsid w:val="00466243"/>
    <w:rsid w:val="004811CA"/>
    <w:rsid w:val="00481587"/>
    <w:rsid w:val="0048200B"/>
    <w:rsid w:val="0049233B"/>
    <w:rsid w:val="0049364C"/>
    <w:rsid w:val="00495FB5"/>
    <w:rsid w:val="004973C2"/>
    <w:rsid w:val="004A001C"/>
    <w:rsid w:val="004A1F89"/>
    <w:rsid w:val="004A4640"/>
    <w:rsid w:val="004B5234"/>
    <w:rsid w:val="004C0735"/>
    <w:rsid w:val="004C1E7C"/>
    <w:rsid w:val="004C4257"/>
    <w:rsid w:val="004E4F00"/>
    <w:rsid w:val="004E6970"/>
    <w:rsid w:val="004E6A60"/>
    <w:rsid w:val="004E6BA3"/>
    <w:rsid w:val="004E7BD4"/>
    <w:rsid w:val="004F06D4"/>
    <w:rsid w:val="004F7388"/>
    <w:rsid w:val="004F797B"/>
    <w:rsid w:val="00503E70"/>
    <w:rsid w:val="0052457E"/>
    <w:rsid w:val="0053220A"/>
    <w:rsid w:val="00532E8A"/>
    <w:rsid w:val="00554D6E"/>
    <w:rsid w:val="00557F0D"/>
    <w:rsid w:val="00560083"/>
    <w:rsid w:val="005742CE"/>
    <w:rsid w:val="00590A0F"/>
    <w:rsid w:val="005920E3"/>
    <w:rsid w:val="00596298"/>
    <w:rsid w:val="005A230C"/>
    <w:rsid w:val="005A2E31"/>
    <w:rsid w:val="005B7122"/>
    <w:rsid w:val="005D059A"/>
    <w:rsid w:val="005E0E95"/>
    <w:rsid w:val="005E3844"/>
    <w:rsid w:val="005E5172"/>
    <w:rsid w:val="005F18B1"/>
    <w:rsid w:val="005F611B"/>
    <w:rsid w:val="006008A3"/>
    <w:rsid w:val="00600AB3"/>
    <w:rsid w:val="00606578"/>
    <w:rsid w:val="00611889"/>
    <w:rsid w:val="00611F68"/>
    <w:rsid w:val="00613472"/>
    <w:rsid w:val="006226D3"/>
    <w:rsid w:val="00624FF8"/>
    <w:rsid w:val="00627CD9"/>
    <w:rsid w:val="00632126"/>
    <w:rsid w:val="00632452"/>
    <w:rsid w:val="006340B4"/>
    <w:rsid w:val="0063571D"/>
    <w:rsid w:val="00635C77"/>
    <w:rsid w:val="00642282"/>
    <w:rsid w:val="00644C2F"/>
    <w:rsid w:val="006465AB"/>
    <w:rsid w:val="0064670A"/>
    <w:rsid w:val="00653117"/>
    <w:rsid w:val="00654612"/>
    <w:rsid w:val="00666BB2"/>
    <w:rsid w:val="00667229"/>
    <w:rsid w:val="00671913"/>
    <w:rsid w:val="0067700F"/>
    <w:rsid w:val="006827FC"/>
    <w:rsid w:val="00683FF6"/>
    <w:rsid w:val="00684618"/>
    <w:rsid w:val="00685CDA"/>
    <w:rsid w:val="00687DE6"/>
    <w:rsid w:val="0069391B"/>
    <w:rsid w:val="006A0585"/>
    <w:rsid w:val="006A577B"/>
    <w:rsid w:val="006B27BA"/>
    <w:rsid w:val="006B31A8"/>
    <w:rsid w:val="006B6862"/>
    <w:rsid w:val="006C0746"/>
    <w:rsid w:val="006C3B51"/>
    <w:rsid w:val="006C3D50"/>
    <w:rsid w:val="006C448B"/>
    <w:rsid w:val="006D7AEA"/>
    <w:rsid w:val="006E0DAC"/>
    <w:rsid w:val="006E20CD"/>
    <w:rsid w:val="006E693F"/>
    <w:rsid w:val="006F18E5"/>
    <w:rsid w:val="006F636E"/>
    <w:rsid w:val="006F7302"/>
    <w:rsid w:val="00704B07"/>
    <w:rsid w:val="00711AA7"/>
    <w:rsid w:val="00715FB9"/>
    <w:rsid w:val="0071621B"/>
    <w:rsid w:val="00725C2A"/>
    <w:rsid w:val="007276FF"/>
    <w:rsid w:val="00730388"/>
    <w:rsid w:val="0073374F"/>
    <w:rsid w:val="00740345"/>
    <w:rsid w:val="007453B7"/>
    <w:rsid w:val="00751442"/>
    <w:rsid w:val="00756A66"/>
    <w:rsid w:val="007572E6"/>
    <w:rsid w:val="00763EC7"/>
    <w:rsid w:val="007776E5"/>
    <w:rsid w:val="00792F3D"/>
    <w:rsid w:val="007951F6"/>
    <w:rsid w:val="007962B2"/>
    <w:rsid w:val="007A1811"/>
    <w:rsid w:val="007A2133"/>
    <w:rsid w:val="007A7784"/>
    <w:rsid w:val="007B1DB4"/>
    <w:rsid w:val="007B364F"/>
    <w:rsid w:val="007C0974"/>
    <w:rsid w:val="007C3E10"/>
    <w:rsid w:val="007D587C"/>
    <w:rsid w:val="007D720F"/>
    <w:rsid w:val="007E0792"/>
    <w:rsid w:val="007E113D"/>
    <w:rsid w:val="007E5AAD"/>
    <w:rsid w:val="007F77B4"/>
    <w:rsid w:val="008021AB"/>
    <w:rsid w:val="00810013"/>
    <w:rsid w:val="00815115"/>
    <w:rsid w:val="00821113"/>
    <w:rsid w:val="00830F4D"/>
    <w:rsid w:val="0083292B"/>
    <w:rsid w:val="00841DBD"/>
    <w:rsid w:val="00847556"/>
    <w:rsid w:val="008512AB"/>
    <w:rsid w:val="008531F8"/>
    <w:rsid w:val="0085470D"/>
    <w:rsid w:val="0085569C"/>
    <w:rsid w:val="00857CF4"/>
    <w:rsid w:val="00860E67"/>
    <w:rsid w:val="00865598"/>
    <w:rsid w:val="00865DE2"/>
    <w:rsid w:val="0087220E"/>
    <w:rsid w:val="00874BED"/>
    <w:rsid w:val="00874C26"/>
    <w:rsid w:val="008826DF"/>
    <w:rsid w:val="00883874"/>
    <w:rsid w:val="00883C51"/>
    <w:rsid w:val="008A07B2"/>
    <w:rsid w:val="008A427F"/>
    <w:rsid w:val="008A5580"/>
    <w:rsid w:val="008B0C55"/>
    <w:rsid w:val="008B24E5"/>
    <w:rsid w:val="008B34FC"/>
    <w:rsid w:val="008B5E4D"/>
    <w:rsid w:val="008C0320"/>
    <w:rsid w:val="008C051F"/>
    <w:rsid w:val="008D2EC3"/>
    <w:rsid w:val="008D4D8A"/>
    <w:rsid w:val="008D7237"/>
    <w:rsid w:val="008E0951"/>
    <w:rsid w:val="008E3167"/>
    <w:rsid w:val="008F0FF8"/>
    <w:rsid w:val="008F4AEE"/>
    <w:rsid w:val="008F4B0D"/>
    <w:rsid w:val="009057BD"/>
    <w:rsid w:val="00907870"/>
    <w:rsid w:val="009120A5"/>
    <w:rsid w:val="00915D7B"/>
    <w:rsid w:val="00925CF0"/>
    <w:rsid w:val="00926FDE"/>
    <w:rsid w:val="009275F4"/>
    <w:rsid w:val="00934BB7"/>
    <w:rsid w:val="009419BC"/>
    <w:rsid w:val="00942E64"/>
    <w:rsid w:val="00945642"/>
    <w:rsid w:val="00946D22"/>
    <w:rsid w:val="00947577"/>
    <w:rsid w:val="00955B4B"/>
    <w:rsid w:val="00955C46"/>
    <w:rsid w:val="00956929"/>
    <w:rsid w:val="009571BD"/>
    <w:rsid w:val="00964E46"/>
    <w:rsid w:val="009709CD"/>
    <w:rsid w:val="00972745"/>
    <w:rsid w:val="009804EC"/>
    <w:rsid w:val="00981E78"/>
    <w:rsid w:val="00982091"/>
    <w:rsid w:val="00983911"/>
    <w:rsid w:val="0098602C"/>
    <w:rsid w:val="009908B8"/>
    <w:rsid w:val="00992DED"/>
    <w:rsid w:val="009B0702"/>
    <w:rsid w:val="009B4BEB"/>
    <w:rsid w:val="009C4250"/>
    <w:rsid w:val="009D088B"/>
    <w:rsid w:val="009E21B2"/>
    <w:rsid w:val="009E21D6"/>
    <w:rsid w:val="009E4BEA"/>
    <w:rsid w:val="009E5526"/>
    <w:rsid w:val="009E7EA2"/>
    <w:rsid w:val="009F2CA6"/>
    <w:rsid w:val="009F40BE"/>
    <w:rsid w:val="009F70ED"/>
    <w:rsid w:val="00A03BDE"/>
    <w:rsid w:val="00A05A3A"/>
    <w:rsid w:val="00A1187A"/>
    <w:rsid w:val="00A148CC"/>
    <w:rsid w:val="00A20DD1"/>
    <w:rsid w:val="00A22AE3"/>
    <w:rsid w:val="00A265B1"/>
    <w:rsid w:val="00A31731"/>
    <w:rsid w:val="00A32026"/>
    <w:rsid w:val="00A35239"/>
    <w:rsid w:val="00A36271"/>
    <w:rsid w:val="00A40E9A"/>
    <w:rsid w:val="00A51514"/>
    <w:rsid w:val="00A53D1D"/>
    <w:rsid w:val="00A56311"/>
    <w:rsid w:val="00A563E6"/>
    <w:rsid w:val="00A647C1"/>
    <w:rsid w:val="00A7104D"/>
    <w:rsid w:val="00A71FB3"/>
    <w:rsid w:val="00A75645"/>
    <w:rsid w:val="00A81CDA"/>
    <w:rsid w:val="00A83431"/>
    <w:rsid w:val="00A84ADB"/>
    <w:rsid w:val="00A90288"/>
    <w:rsid w:val="00A93F83"/>
    <w:rsid w:val="00AA2ECE"/>
    <w:rsid w:val="00AB5ADF"/>
    <w:rsid w:val="00AC17CE"/>
    <w:rsid w:val="00AC1F8F"/>
    <w:rsid w:val="00AC3659"/>
    <w:rsid w:val="00AC6FA7"/>
    <w:rsid w:val="00AD0D3E"/>
    <w:rsid w:val="00AD1B79"/>
    <w:rsid w:val="00AD4D42"/>
    <w:rsid w:val="00AD59D6"/>
    <w:rsid w:val="00AD6F47"/>
    <w:rsid w:val="00AD7D32"/>
    <w:rsid w:val="00AE05DA"/>
    <w:rsid w:val="00AF1CA9"/>
    <w:rsid w:val="00B11949"/>
    <w:rsid w:val="00B135D0"/>
    <w:rsid w:val="00B160C8"/>
    <w:rsid w:val="00B16E2B"/>
    <w:rsid w:val="00B21AD9"/>
    <w:rsid w:val="00B2762B"/>
    <w:rsid w:val="00B355A4"/>
    <w:rsid w:val="00B46908"/>
    <w:rsid w:val="00B478FF"/>
    <w:rsid w:val="00B50612"/>
    <w:rsid w:val="00B5069A"/>
    <w:rsid w:val="00B5198E"/>
    <w:rsid w:val="00B52EC9"/>
    <w:rsid w:val="00B56606"/>
    <w:rsid w:val="00B6067C"/>
    <w:rsid w:val="00B60DF0"/>
    <w:rsid w:val="00B61B6D"/>
    <w:rsid w:val="00B6550F"/>
    <w:rsid w:val="00B67BF6"/>
    <w:rsid w:val="00B705A3"/>
    <w:rsid w:val="00B71629"/>
    <w:rsid w:val="00B77593"/>
    <w:rsid w:val="00B87A7A"/>
    <w:rsid w:val="00B92E3C"/>
    <w:rsid w:val="00B9483B"/>
    <w:rsid w:val="00B9796F"/>
    <w:rsid w:val="00BB144D"/>
    <w:rsid w:val="00BB2B41"/>
    <w:rsid w:val="00BB3E04"/>
    <w:rsid w:val="00BB5D16"/>
    <w:rsid w:val="00BB6CD0"/>
    <w:rsid w:val="00BC02DF"/>
    <w:rsid w:val="00BC327B"/>
    <w:rsid w:val="00BC65E4"/>
    <w:rsid w:val="00BD0F70"/>
    <w:rsid w:val="00BD69F3"/>
    <w:rsid w:val="00BD7645"/>
    <w:rsid w:val="00BD7F8C"/>
    <w:rsid w:val="00BE0955"/>
    <w:rsid w:val="00BE0B53"/>
    <w:rsid w:val="00BE0D38"/>
    <w:rsid w:val="00BE4E7E"/>
    <w:rsid w:val="00BF1128"/>
    <w:rsid w:val="00BF3CE3"/>
    <w:rsid w:val="00BF5617"/>
    <w:rsid w:val="00BF7CA6"/>
    <w:rsid w:val="00C02198"/>
    <w:rsid w:val="00C03BD6"/>
    <w:rsid w:val="00C1109D"/>
    <w:rsid w:val="00C20B08"/>
    <w:rsid w:val="00C22CBC"/>
    <w:rsid w:val="00C24B1A"/>
    <w:rsid w:val="00C378A0"/>
    <w:rsid w:val="00C50C37"/>
    <w:rsid w:val="00C535A2"/>
    <w:rsid w:val="00C62828"/>
    <w:rsid w:val="00C6357D"/>
    <w:rsid w:val="00C707CC"/>
    <w:rsid w:val="00C7292B"/>
    <w:rsid w:val="00C72B2B"/>
    <w:rsid w:val="00C7324B"/>
    <w:rsid w:val="00C858DF"/>
    <w:rsid w:val="00C93DF8"/>
    <w:rsid w:val="00C9590B"/>
    <w:rsid w:val="00CA246B"/>
    <w:rsid w:val="00CC6AE0"/>
    <w:rsid w:val="00CD33E4"/>
    <w:rsid w:val="00CD4C41"/>
    <w:rsid w:val="00CE144D"/>
    <w:rsid w:val="00CE7093"/>
    <w:rsid w:val="00CF07CF"/>
    <w:rsid w:val="00CF1D20"/>
    <w:rsid w:val="00CF71D5"/>
    <w:rsid w:val="00D05A02"/>
    <w:rsid w:val="00D13B2D"/>
    <w:rsid w:val="00D15499"/>
    <w:rsid w:val="00D2296D"/>
    <w:rsid w:val="00D23570"/>
    <w:rsid w:val="00D269A9"/>
    <w:rsid w:val="00D27A41"/>
    <w:rsid w:val="00D33224"/>
    <w:rsid w:val="00D34320"/>
    <w:rsid w:val="00D359DA"/>
    <w:rsid w:val="00D36CE0"/>
    <w:rsid w:val="00D37AD9"/>
    <w:rsid w:val="00D44476"/>
    <w:rsid w:val="00D4571A"/>
    <w:rsid w:val="00D46263"/>
    <w:rsid w:val="00D5220C"/>
    <w:rsid w:val="00D5319D"/>
    <w:rsid w:val="00D540F0"/>
    <w:rsid w:val="00D55E8F"/>
    <w:rsid w:val="00D62334"/>
    <w:rsid w:val="00D7224D"/>
    <w:rsid w:val="00D7237E"/>
    <w:rsid w:val="00D72805"/>
    <w:rsid w:val="00D7449B"/>
    <w:rsid w:val="00D76341"/>
    <w:rsid w:val="00D869E6"/>
    <w:rsid w:val="00D927FE"/>
    <w:rsid w:val="00D92A70"/>
    <w:rsid w:val="00D932D6"/>
    <w:rsid w:val="00D96C9F"/>
    <w:rsid w:val="00DA10DD"/>
    <w:rsid w:val="00DB498A"/>
    <w:rsid w:val="00DC2A0F"/>
    <w:rsid w:val="00DC3002"/>
    <w:rsid w:val="00DC502D"/>
    <w:rsid w:val="00DD04AC"/>
    <w:rsid w:val="00DD3624"/>
    <w:rsid w:val="00DE7F8E"/>
    <w:rsid w:val="00DF0AF2"/>
    <w:rsid w:val="00DF4D2D"/>
    <w:rsid w:val="00DF6719"/>
    <w:rsid w:val="00DF6746"/>
    <w:rsid w:val="00E04A0F"/>
    <w:rsid w:val="00E136D9"/>
    <w:rsid w:val="00E17BB9"/>
    <w:rsid w:val="00E21F64"/>
    <w:rsid w:val="00E3181E"/>
    <w:rsid w:val="00E41E02"/>
    <w:rsid w:val="00E4235F"/>
    <w:rsid w:val="00E4243A"/>
    <w:rsid w:val="00E4378D"/>
    <w:rsid w:val="00E538FD"/>
    <w:rsid w:val="00E54704"/>
    <w:rsid w:val="00E71856"/>
    <w:rsid w:val="00E72499"/>
    <w:rsid w:val="00E72750"/>
    <w:rsid w:val="00E773E3"/>
    <w:rsid w:val="00E85284"/>
    <w:rsid w:val="00E87591"/>
    <w:rsid w:val="00E925BB"/>
    <w:rsid w:val="00E9383B"/>
    <w:rsid w:val="00E95430"/>
    <w:rsid w:val="00E966D7"/>
    <w:rsid w:val="00E9734A"/>
    <w:rsid w:val="00EA1297"/>
    <w:rsid w:val="00EA4FF7"/>
    <w:rsid w:val="00EB0BC6"/>
    <w:rsid w:val="00EB29AE"/>
    <w:rsid w:val="00EB6ECB"/>
    <w:rsid w:val="00EC1867"/>
    <w:rsid w:val="00EC495C"/>
    <w:rsid w:val="00ED0B76"/>
    <w:rsid w:val="00ED4F3F"/>
    <w:rsid w:val="00EE1248"/>
    <w:rsid w:val="00EE26F9"/>
    <w:rsid w:val="00EE4818"/>
    <w:rsid w:val="00EE5359"/>
    <w:rsid w:val="00EF36D1"/>
    <w:rsid w:val="00EF423C"/>
    <w:rsid w:val="00EF4367"/>
    <w:rsid w:val="00F1130D"/>
    <w:rsid w:val="00F13693"/>
    <w:rsid w:val="00F13B2B"/>
    <w:rsid w:val="00F13C7A"/>
    <w:rsid w:val="00F14DF9"/>
    <w:rsid w:val="00F16E65"/>
    <w:rsid w:val="00F217DB"/>
    <w:rsid w:val="00F23CC0"/>
    <w:rsid w:val="00F27198"/>
    <w:rsid w:val="00F27D96"/>
    <w:rsid w:val="00F30B87"/>
    <w:rsid w:val="00F3582C"/>
    <w:rsid w:val="00F358AC"/>
    <w:rsid w:val="00F36D9C"/>
    <w:rsid w:val="00F419FA"/>
    <w:rsid w:val="00F43000"/>
    <w:rsid w:val="00F516B7"/>
    <w:rsid w:val="00F53226"/>
    <w:rsid w:val="00F64191"/>
    <w:rsid w:val="00F658B9"/>
    <w:rsid w:val="00F706D7"/>
    <w:rsid w:val="00F7655D"/>
    <w:rsid w:val="00F76DFB"/>
    <w:rsid w:val="00F82260"/>
    <w:rsid w:val="00F82E3D"/>
    <w:rsid w:val="00F83E35"/>
    <w:rsid w:val="00F95B59"/>
    <w:rsid w:val="00F97004"/>
    <w:rsid w:val="00FA2006"/>
    <w:rsid w:val="00FA2E46"/>
    <w:rsid w:val="00FA79BC"/>
    <w:rsid w:val="00FB0D7A"/>
    <w:rsid w:val="00FB1DA6"/>
    <w:rsid w:val="00FB20DC"/>
    <w:rsid w:val="00FB6328"/>
    <w:rsid w:val="00FB6ABB"/>
    <w:rsid w:val="00FB773F"/>
    <w:rsid w:val="00FC13BC"/>
    <w:rsid w:val="00FC5394"/>
    <w:rsid w:val="00FC7227"/>
    <w:rsid w:val="00FD28CF"/>
    <w:rsid w:val="00FE0784"/>
    <w:rsid w:val="00FE0AC7"/>
    <w:rsid w:val="00FE137F"/>
    <w:rsid w:val="00FE686D"/>
    <w:rsid w:val="00FF07A8"/>
    <w:rsid w:val="00FF3DDC"/>
    <w:rsid w:val="00FF5A5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A9C77"/>
  <w15:docId w15:val="{95B38D35-3E65-43B7-B9F3-B788D9DA7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051F"/>
  </w:style>
  <w:style w:type="paragraph" w:styleId="Titre1">
    <w:name w:val="heading 1"/>
    <w:basedOn w:val="Normal"/>
    <w:next w:val="Normal"/>
    <w:link w:val="Titre1Car"/>
    <w:uiPriority w:val="9"/>
    <w:qFormat/>
    <w:rsid w:val="004E6A6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4E6A6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A515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39498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9498E"/>
    <w:rPr>
      <w:rFonts w:ascii="Tahoma" w:hAnsi="Tahoma" w:cs="Tahoma"/>
      <w:sz w:val="16"/>
      <w:szCs w:val="16"/>
    </w:rPr>
  </w:style>
  <w:style w:type="character" w:styleId="Lienhypertexte">
    <w:name w:val="Hyperlink"/>
    <w:basedOn w:val="Policepardfaut"/>
    <w:uiPriority w:val="99"/>
    <w:unhideWhenUsed/>
    <w:rsid w:val="00ED4F3F"/>
    <w:rPr>
      <w:color w:val="0000FF" w:themeColor="hyperlink"/>
      <w:u w:val="single"/>
    </w:rPr>
  </w:style>
  <w:style w:type="paragraph" w:styleId="En-tte">
    <w:name w:val="header"/>
    <w:basedOn w:val="Normal"/>
    <w:link w:val="En-tteCar"/>
    <w:uiPriority w:val="99"/>
    <w:unhideWhenUsed/>
    <w:rsid w:val="0027298A"/>
    <w:pPr>
      <w:tabs>
        <w:tab w:val="center" w:pos="4536"/>
        <w:tab w:val="right" w:pos="9072"/>
      </w:tabs>
      <w:spacing w:after="0" w:line="240" w:lineRule="auto"/>
    </w:pPr>
  </w:style>
  <w:style w:type="character" w:customStyle="1" w:styleId="En-tteCar">
    <w:name w:val="En-tête Car"/>
    <w:basedOn w:val="Policepardfaut"/>
    <w:link w:val="En-tte"/>
    <w:uiPriority w:val="99"/>
    <w:rsid w:val="0027298A"/>
  </w:style>
  <w:style w:type="paragraph" w:styleId="Pieddepage">
    <w:name w:val="footer"/>
    <w:basedOn w:val="Normal"/>
    <w:link w:val="PieddepageCar"/>
    <w:uiPriority w:val="99"/>
    <w:unhideWhenUsed/>
    <w:rsid w:val="0027298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7298A"/>
  </w:style>
  <w:style w:type="paragraph" w:styleId="Paragraphedeliste">
    <w:name w:val="List Paragraph"/>
    <w:basedOn w:val="Normal"/>
    <w:uiPriority w:val="34"/>
    <w:qFormat/>
    <w:rsid w:val="007962B2"/>
    <w:pPr>
      <w:ind w:left="720"/>
      <w:contextualSpacing/>
    </w:pPr>
  </w:style>
  <w:style w:type="paragraph" w:customStyle="1" w:styleId="Paragraphedeliste1">
    <w:name w:val="Paragraphe de liste1"/>
    <w:basedOn w:val="Normal"/>
    <w:rsid w:val="008A07B2"/>
    <w:pPr>
      <w:spacing w:after="0" w:line="240" w:lineRule="auto"/>
      <w:ind w:left="720"/>
      <w:contextualSpacing/>
      <w:jc w:val="both"/>
    </w:pPr>
    <w:rPr>
      <w:rFonts w:ascii="Times New Roman" w:eastAsia="Times New Roman" w:hAnsi="Times New Roman" w:cs="Times New Roman"/>
      <w:szCs w:val="20"/>
      <w:lang w:eastAsia="fr-FR"/>
    </w:rPr>
  </w:style>
  <w:style w:type="character" w:styleId="Marquedecommentaire">
    <w:name w:val="annotation reference"/>
    <w:basedOn w:val="Policepardfaut"/>
    <w:uiPriority w:val="99"/>
    <w:semiHidden/>
    <w:unhideWhenUsed/>
    <w:rsid w:val="00402184"/>
    <w:rPr>
      <w:sz w:val="16"/>
      <w:szCs w:val="16"/>
    </w:rPr>
  </w:style>
  <w:style w:type="paragraph" w:styleId="Commentaire">
    <w:name w:val="annotation text"/>
    <w:basedOn w:val="Normal"/>
    <w:link w:val="CommentaireCar"/>
    <w:uiPriority w:val="99"/>
    <w:semiHidden/>
    <w:unhideWhenUsed/>
    <w:rsid w:val="00402184"/>
    <w:pPr>
      <w:spacing w:line="240" w:lineRule="auto"/>
    </w:pPr>
    <w:rPr>
      <w:sz w:val="20"/>
      <w:szCs w:val="20"/>
    </w:rPr>
  </w:style>
  <w:style w:type="character" w:customStyle="1" w:styleId="CommentaireCar">
    <w:name w:val="Commentaire Car"/>
    <w:basedOn w:val="Policepardfaut"/>
    <w:link w:val="Commentaire"/>
    <w:uiPriority w:val="99"/>
    <w:semiHidden/>
    <w:rsid w:val="00402184"/>
    <w:rPr>
      <w:sz w:val="20"/>
      <w:szCs w:val="20"/>
    </w:rPr>
  </w:style>
  <w:style w:type="paragraph" w:styleId="Objetducommentaire">
    <w:name w:val="annotation subject"/>
    <w:basedOn w:val="Commentaire"/>
    <w:next w:val="Commentaire"/>
    <w:link w:val="ObjetducommentaireCar"/>
    <w:uiPriority w:val="99"/>
    <w:semiHidden/>
    <w:unhideWhenUsed/>
    <w:rsid w:val="00402184"/>
    <w:rPr>
      <w:b/>
      <w:bCs/>
    </w:rPr>
  </w:style>
  <w:style w:type="character" w:customStyle="1" w:styleId="ObjetducommentaireCar">
    <w:name w:val="Objet du commentaire Car"/>
    <w:basedOn w:val="CommentaireCar"/>
    <w:link w:val="Objetducommentaire"/>
    <w:uiPriority w:val="99"/>
    <w:semiHidden/>
    <w:rsid w:val="00402184"/>
    <w:rPr>
      <w:b/>
      <w:bCs/>
      <w:sz w:val="20"/>
      <w:szCs w:val="20"/>
    </w:rPr>
  </w:style>
  <w:style w:type="character" w:styleId="Lienhypertextesuivivisit">
    <w:name w:val="FollowedHyperlink"/>
    <w:basedOn w:val="Policepardfaut"/>
    <w:uiPriority w:val="99"/>
    <w:semiHidden/>
    <w:unhideWhenUsed/>
    <w:rsid w:val="00532E8A"/>
    <w:rPr>
      <w:color w:val="800080" w:themeColor="followedHyperlink"/>
      <w:u w:val="single"/>
    </w:rPr>
  </w:style>
  <w:style w:type="paragraph" w:customStyle="1" w:styleId="Default">
    <w:name w:val="Default"/>
    <w:rsid w:val="00D927FE"/>
    <w:pPr>
      <w:autoSpaceDE w:val="0"/>
      <w:autoSpaceDN w:val="0"/>
      <w:adjustRightInd w:val="0"/>
      <w:spacing w:after="0" w:line="240" w:lineRule="auto"/>
    </w:pPr>
    <w:rPr>
      <w:rFonts w:ascii="Times New Roman" w:hAnsi="Times New Roman" w:cs="Times New Roman"/>
      <w:color w:val="000000"/>
      <w:sz w:val="24"/>
      <w:szCs w:val="24"/>
    </w:rPr>
  </w:style>
  <w:style w:type="paragraph" w:styleId="Notedebasdepage">
    <w:name w:val="footnote text"/>
    <w:basedOn w:val="Normal"/>
    <w:link w:val="NotedebasdepageCar"/>
    <w:uiPriority w:val="99"/>
    <w:semiHidden/>
    <w:unhideWhenUsed/>
    <w:rsid w:val="00107C86"/>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107C86"/>
    <w:rPr>
      <w:sz w:val="20"/>
      <w:szCs w:val="20"/>
    </w:rPr>
  </w:style>
  <w:style w:type="character" w:styleId="Appelnotedebasdep">
    <w:name w:val="footnote reference"/>
    <w:basedOn w:val="Policepardfaut"/>
    <w:uiPriority w:val="99"/>
    <w:semiHidden/>
    <w:unhideWhenUsed/>
    <w:rsid w:val="00107C86"/>
    <w:rPr>
      <w:vertAlign w:val="superscript"/>
    </w:rPr>
  </w:style>
  <w:style w:type="character" w:customStyle="1" w:styleId="Titre1Car">
    <w:name w:val="Titre 1 Car"/>
    <w:basedOn w:val="Policepardfaut"/>
    <w:link w:val="Titre1"/>
    <w:uiPriority w:val="9"/>
    <w:rsid w:val="004E6A60"/>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4E6A60"/>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988549">
      <w:bodyDiv w:val="1"/>
      <w:marLeft w:val="0"/>
      <w:marRight w:val="0"/>
      <w:marTop w:val="0"/>
      <w:marBottom w:val="0"/>
      <w:divBdr>
        <w:top w:val="none" w:sz="0" w:space="0" w:color="auto"/>
        <w:left w:val="none" w:sz="0" w:space="0" w:color="auto"/>
        <w:bottom w:val="none" w:sz="0" w:space="0" w:color="auto"/>
        <w:right w:val="none" w:sz="0" w:space="0" w:color="auto"/>
      </w:divBdr>
    </w:div>
    <w:div w:id="214464577">
      <w:bodyDiv w:val="1"/>
      <w:marLeft w:val="0"/>
      <w:marRight w:val="0"/>
      <w:marTop w:val="0"/>
      <w:marBottom w:val="0"/>
      <w:divBdr>
        <w:top w:val="none" w:sz="0" w:space="0" w:color="auto"/>
        <w:left w:val="none" w:sz="0" w:space="0" w:color="auto"/>
        <w:bottom w:val="none" w:sz="0" w:space="0" w:color="auto"/>
        <w:right w:val="none" w:sz="0" w:space="0" w:color="auto"/>
      </w:divBdr>
    </w:div>
    <w:div w:id="443888882">
      <w:bodyDiv w:val="1"/>
      <w:marLeft w:val="0"/>
      <w:marRight w:val="0"/>
      <w:marTop w:val="0"/>
      <w:marBottom w:val="0"/>
      <w:divBdr>
        <w:top w:val="none" w:sz="0" w:space="0" w:color="auto"/>
        <w:left w:val="none" w:sz="0" w:space="0" w:color="auto"/>
        <w:bottom w:val="none" w:sz="0" w:space="0" w:color="auto"/>
        <w:right w:val="none" w:sz="0" w:space="0" w:color="auto"/>
      </w:divBdr>
    </w:div>
    <w:div w:id="474685813">
      <w:bodyDiv w:val="1"/>
      <w:marLeft w:val="0"/>
      <w:marRight w:val="0"/>
      <w:marTop w:val="0"/>
      <w:marBottom w:val="0"/>
      <w:divBdr>
        <w:top w:val="none" w:sz="0" w:space="0" w:color="auto"/>
        <w:left w:val="none" w:sz="0" w:space="0" w:color="auto"/>
        <w:bottom w:val="none" w:sz="0" w:space="0" w:color="auto"/>
        <w:right w:val="none" w:sz="0" w:space="0" w:color="auto"/>
      </w:divBdr>
    </w:div>
    <w:div w:id="558904922">
      <w:bodyDiv w:val="1"/>
      <w:marLeft w:val="0"/>
      <w:marRight w:val="0"/>
      <w:marTop w:val="0"/>
      <w:marBottom w:val="0"/>
      <w:divBdr>
        <w:top w:val="none" w:sz="0" w:space="0" w:color="auto"/>
        <w:left w:val="none" w:sz="0" w:space="0" w:color="auto"/>
        <w:bottom w:val="none" w:sz="0" w:space="0" w:color="auto"/>
        <w:right w:val="none" w:sz="0" w:space="0" w:color="auto"/>
      </w:divBdr>
    </w:div>
    <w:div w:id="590898148">
      <w:bodyDiv w:val="1"/>
      <w:marLeft w:val="0"/>
      <w:marRight w:val="0"/>
      <w:marTop w:val="0"/>
      <w:marBottom w:val="0"/>
      <w:divBdr>
        <w:top w:val="none" w:sz="0" w:space="0" w:color="auto"/>
        <w:left w:val="none" w:sz="0" w:space="0" w:color="auto"/>
        <w:bottom w:val="none" w:sz="0" w:space="0" w:color="auto"/>
        <w:right w:val="none" w:sz="0" w:space="0" w:color="auto"/>
      </w:divBdr>
    </w:div>
    <w:div w:id="820850482">
      <w:bodyDiv w:val="1"/>
      <w:marLeft w:val="0"/>
      <w:marRight w:val="0"/>
      <w:marTop w:val="0"/>
      <w:marBottom w:val="0"/>
      <w:divBdr>
        <w:top w:val="none" w:sz="0" w:space="0" w:color="auto"/>
        <w:left w:val="none" w:sz="0" w:space="0" w:color="auto"/>
        <w:bottom w:val="none" w:sz="0" w:space="0" w:color="auto"/>
        <w:right w:val="none" w:sz="0" w:space="0" w:color="auto"/>
      </w:divBdr>
    </w:div>
    <w:div w:id="914782505">
      <w:bodyDiv w:val="1"/>
      <w:marLeft w:val="0"/>
      <w:marRight w:val="0"/>
      <w:marTop w:val="0"/>
      <w:marBottom w:val="0"/>
      <w:divBdr>
        <w:top w:val="none" w:sz="0" w:space="0" w:color="auto"/>
        <w:left w:val="none" w:sz="0" w:space="0" w:color="auto"/>
        <w:bottom w:val="none" w:sz="0" w:space="0" w:color="auto"/>
        <w:right w:val="none" w:sz="0" w:space="0" w:color="auto"/>
      </w:divBdr>
    </w:div>
    <w:div w:id="1096753620">
      <w:bodyDiv w:val="1"/>
      <w:marLeft w:val="0"/>
      <w:marRight w:val="0"/>
      <w:marTop w:val="0"/>
      <w:marBottom w:val="0"/>
      <w:divBdr>
        <w:top w:val="none" w:sz="0" w:space="0" w:color="auto"/>
        <w:left w:val="none" w:sz="0" w:space="0" w:color="auto"/>
        <w:bottom w:val="none" w:sz="0" w:space="0" w:color="auto"/>
        <w:right w:val="none" w:sz="0" w:space="0" w:color="auto"/>
      </w:divBdr>
    </w:div>
    <w:div w:id="1131902579">
      <w:bodyDiv w:val="1"/>
      <w:marLeft w:val="0"/>
      <w:marRight w:val="0"/>
      <w:marTop w:val="0"/>
      <w:marBottom w:val="0"/>
      <w:divBdr>
        <w:top w:val="none" w:sz="0" w:space="0" w:color="auto"/>
        <w:left w:val="none" w:sz="0" w:space="0" w:color="auto"/>
        <w:bottom w:val="none" w:sz="0" w:space="0" w:color="auto"/>
        <w:right w:val="none" w:sz="0" w:space="0" w:color="auto"/>
      </w:divBdr>
    </w:div>
    <w:div w:id="1576548053">
      <w:bodyDiv w:val="1"/>
      <w:marLeft w:val="0"/>
      <w:marRight w:val="0"/>
      <w:marTop w:val="0"/>
      <w:marBottom w:val="0"/>
      <w:divBdr>
        <w:top w:val="none" w:sz="0" w:space="0" w:color="auto"/>
        <w:left w:val="none" w:sz="0" w:space="0" w:color="auto"/>
        <w:bottom w:val="none" w:sz="0" w:space="0" w:color="auto"/>
        <w:right w:val="none" w:sz="0" w:space="0" w:color="auto"/>
      </w:divBdr>
    </w:div>
    <w:div w:id="1637643820">
      <w:bodyDiv w:val="1"/>
      <w:marLeft w:val="0"/>
      <w:marRight w:val="0"/>
      <w:marTop w:val="0"/>
      <w:marBottom w:val="0"/>
      <w:divBdr>
        <w:top w:val="none" w:sz="0" w:space="0" w:color="auto"/>
        <w:left w:val="none" w:sz="0" w:space="0" w:color="auto"/>
        <w:bottom w:val="none" w:sz="0" w:space="0" w:color="auto"/>
        <w:right w:val="none" w:sz="0" w:space="0" w:color="auto"/>
      </w:divBdr>
    </w:div>
    <w:div w:id="1689527471">
      <w:bodyDiv w:val="1"/>
      <w:marLeft w:val="0"/>
      <w:marRight w:val="0"/>
      <w:marTop w:val="0"/>
      <w:marBottom w:val="0"/>
      <w:divBdr>
        <w:top w:val="none" w:sz="0" w:space="0" w:color="auto"/>
        <w:left w:val="none" w:sz="0" w:space="0" w:color="auto"/>
        <w:bottom w:val="none" w:sz="0" w:space="0" w:color="auto"/>
        <w:right w:val="none" w:sz="0" w:space="0" w:color="auto"/>
      </w:divBdr>
    </w:div>
    <w:div w:id="1816264887">
      <w:bodyDiv w:val="1"/>
      <w:marLeft w:val="0"/>
      <w:marRight w:val="0"/>
      <w:marTop w:val="0"/>
      <w:marBottom w:val="0"/>
      <w:divBdr>
        <w:top w:val="none" w:sz="0" w:space="0" w:color="auto"/>
        <w:left w:val="none" w:sz="0" w:space="0" w:color="auto"/>
        <w:bottom w:val="none" w:sz="0" w:space="0" w:color="auto"/>
        <w:right w:val="none" w:sz="0" w:space="0" w:color="auto"/>
      </w:divBdr>
    </w:div>
    <w:div w:id="2062554391">
      <w:bodyDiv w:val="1"/>
      <w:marLeft w:val="0"/>
      <w:marRight w:val="0"/>
      <w:marTop w:val="0"/>
      <w:marBottom w:val="0"/>
      <w:divBdr>
        <w:top w:val="none" w:sz="0" w:space="0" w:color="auto"/>
        <w:left w:val="none" w:sz="0" w:space="0" w:color="auto"/>
        <w:bottom w:val="none" w:sz="0" w:space="0" w:color="auto"/>
        <w:right w:val="none" w:sz="0" w:space="0" w:color="auto"/>
      </w:divBdr>
    </w:div>
    <w:div w:id="2081443956">
      <w:bodyDiv w:val="1"/>
      <w:marLeft w:val="0"/>
      <w:marRight w:val="0"/>
      <w:marTop w:val="0"/>
      <w:marBottom w:val="0"/>
      <w:divBdr>
        <w:top w:val="none" w:sz="0" w:space="0" w:color="auto"/>
        <w:left w:val="none" w:sz="0" w:space="0" w:color="auto"/>
        <w:bottom w:val="none" w:sz="0" w:space="0" w:color="auto"/>
        <w:right w:val="none" w:sz="0" w:space="0" w:color="auto"/>
      </w:divBdr>
    </w:div>
    <w:div w:id="2131318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eur-lex.europa.eu/LexUriServ/LexUriServ.do?uri=OJ:L:2009:086:0001:0169:en:PDF" TargetMode="External"/><Relationship Id="rId18"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ur-lex.europa.eu/LexUriServ/LexUriServ.do?uri=OJ:L:2009:086:0001:0169:en:PDF"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LexUriServ/LexUriServ.do?uri=OJ:L:2009:086:0001:0169:en:PDF" TargetMode="External"/><Relationship Id="rId5" Type="http://schemas.openxmlformats.org/officeDocument/2006/relationships/webSettings" Target="webSettings.xml"/><Relationship Id="rId15" Type="http://schemas.openxmlformats.org/officeDocument/2006/relationships/hyperlink" Target="http://eur-lex.europa.eu/LexUriServ/LexUriServ.do?uri=OJ:L:2009:086:0001:0169:en:PDF" TargetMode="External"/><Relationship Id="rId10" Type="http://schemas.openxmlformats.org/officeDocument/2006/relationships/hyperlink" Target="http://eur-lex.europa.eu/LexUriServ/LexUriServ.do?uri=OJ:L:2009:086:0001:0169:en: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ur-lex.europa.eu/LexUriServ/LexUriServ.do?uri=OJ:L:2009:086:0001:0169:en:PDF" TargetMode="External"/><Relationship Id="rId14" Type="http://schemas.openxmlformats.org/officeDocument/2006/relationships/hyperlink" Target="http://eur-lex.europa.eu/LexUriServ/LexUriServ.do?uri=OJ:L:2009:086:0001:0169:en: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BB947-A387-413A-94C4-D7DB50BF1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10</Pages>
  <Words>3087</Words>
  <Characters>16980</Characters>
  <Application>Microsoft Office Word</Application>
  <DocSecurity>0</DocSecurity>
  <Lines>141</Lines>
  <Paragraphs>40</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20027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Louise ADNOT</dc:creator>
  <cp:lastModifiedBy>WILKINSON Baptiste (UA 2775)</cp:lastModifiedBy>
  <cp:revision>13</cp:revision>
  <dcterms:created xsi:type="dcterms:W3CDTF">2020-11-30T17:53:00Z</dcterms:created>
  <dcterms:modified xsi:type="dcterms:W3CDTF">2023-01-02T16:44:00Z</dcterms:modified>
</cp:coreProperties>
</file>