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82DDF3" w14:textId="77777777" w:rsidR="00C44F2A" w:rsidRPr="00C44F2A" w:rsidRDefault="00C44F2A" w:rsidP="00C44F2A">
      <w:pPr>
        <w:spacing w:after="0" w:line="240" w:lineRule="auto"/>
        <w:rPr>
          <w:rFonts w:ascii="Garamond" w:eastAsia="Times New Roman" w:hAnsi="Garamond" w:cs="Times New Roman"/>
          <w:b/>
          <w:color w:val="003B8E"/>
          <w:lang w:eastAsia="fr-FR"/>
        </w:rPr>
      </w:pPr>
    </w:p>
    <w:p w14:paraId="0089AD7D" w14:textId="77777777" w:rsidR="00321B2B" w:rsidRDefault="00B45F64" w:rsidP="00321B2B">
      <w:pPr>
        <w:rPr>
          <w:rFonts w:ascii="Garamond" w:hAnsi="Garamond"/>
          <w:lang w:val="en-US"/>
        </w:rPr>
      </w:pPr>
      <w:r w:rsidRPr="00186C94">
        <w:rPr>
          <w:noProof/>
          <w:color w:val="FFFFFF"/>
          <w:lang w:eastAsia="fr-FR"/>
        </w:rPr>
        <w:drawing>
          <wp:inline distT="0" distB="0" distL="0" distR="0" wp14:anchorId="72419E64" wp14:editId="5A665CC2">
            <wp:extent cx="1110545" cy="990021"/>
            <wp:effectExtent l="0" t="0" r="0" b="635"/>
            <wp:docPr id="10"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19861" cy="998326"/>
                    </a:xfrm>
                    <a:prstGeom prst="rect">
                      <a:avLst/>
                    </a:prstGeom>
                    <a:noFill/>
                    <a:ln w="9525">
                      <a:noFill/>
                      <a:miter lim="800000"/>
                      <a:headEnd/>
                      <a:tailEnd/>
                    </a:ln>
                  </pic:spPr>
                </pic:pic>
              </a:graphicData>
            </a:graphic>
          </wp:inline>
        </w:drawing>
      </w:r>
    </w:p>
    <w:p w14:paraId="3CD151B4" w14:textId="77777777" w:rsidR="00321B2B" w:rsidRDefault="00321B2B" w:rsidP="00321B2B">
      <w:pPr>
        <w:jc w:val="center"/>
        <w:rPr>
          <w:rFonts w:ascii="Garamond" w:hAnsi="Garamond"/>
          <w:b/>
          <w:sz w:val="28"/>
          <w:szCs w:val="28"/>
        </w:rPr>
      </w:pPr>
      <w:r>
        <w:rPr>
          <w:rFonts w:ascii="Garamond" w:hAnsi="Garamond"/>
          <w:b/>
          <w:sz w:val="28"/>
          <w:szCs w:val="28"/>
        </w:rPr>
        <w:t xml:space="preserve">Guide méthodologique </w:t>
      </w:r>
    </w:p>
    <w:p w14:paraId="45383032" w14:textId="77777777" w:rsidR="00321B2B" w:rsidRDefault="00321B2B" w:rsidP="00321B2B">
      <w:pPr>
        <w:jc w:val="center"/>
        <w:rPr>
          <w:rFonts w:ascii="Garamond" w:hAnsi="Garamond"/>
          <w:b/>
          <w:sz w:val="28"/>
          <w:szCs w:val="28"/>
        </w:rPr>
      </w:pPr>
      <w:r>
        <w:rPr>
          <w:rFonts w:ascii="Garamond" w:hAnsi="Garamond"/>
          <w:b/>
          <w:sz w:val="28"/>
          <w:szCs w:val="28"/>
        </w:rPr>
        <w:t>Documents prudentiels européens quantitatifs à communiquer annuellement et trimestriellement par les organismes de retraite professionnelle supplémentaire</w:t>
      </w:r>
    </w:p>
    <w:p w14:paraId="179DD03F" w14:textId="77777777" w:rsidR="00321B2B" w:rsidRDefault="00321B2B" w:rsidP="00321B2B">
      <w:pPr>
        <w:spacing w:after="0" w:line="240" w:lineRule="auto"/>
        <w:jc w:val="center"/>
        <w:rPr>
          <w:rFonts w:ascii="Garamond" w:hAnsi="Garamond"/>
        </w:rPr>
      </w:pPr>
      <w:r>
        <w:rPr>
          <w:rFonts w:ascii="Garamond" w:hAnsi="Garamond"/>
        </w:rPr>
        <w:tab/>
      </w:r>
    </w:p>
    <w:p w14:paraId="1C4AD1D0" w14:textId="77777777" w:rsidR="00321B2B" w:rsidRDefault="00321B2B" w:rsidP="00321B2B">
      <w:pPr>
        <w:spacing w:after="0" w:line="240" w:lineRule="auto"/>
        <w:jc w:val="center"/>
        <w:rPr>
          <w:rFonts w:ascii="Garamond" w:hAnsi="Garamond"/>
        </w:rPr>
      </w:pPr>
    </w:p>
    <w:p w14:paraId="7D5FD2A1" w14:textId="1F0D10DD" w:rsidR="00321B2B" w:rsidRDefault="00321B2B" w:rsidP="00321B2B">
      <w:pPr>
        <w:pStyle w:val="Paragraphedeliste1"/>
        <w:ind w:left="0" w:firstLine="708"/>
        <w:rPr>
          <w:rFonts w:ascii="Garamond" w:hAnsi="Garamond"/>
          <w:szCs w:val="22"/>
        </w:rPr>
      </w:pPr>
      <w:r>
        <w:rPr>
          <w:rFonts w:ascii="Garamond" w:hAnsi="Garamond"/>
          <w:szCs w:val="22"/>
        </w:rPr>
        <w:t xml:space="preserve">Ce guide méthodologique traite des états quantitatifs présentés dans </w:t>
      </w:r>
      <w:r w:rsidR="00A86984">
        <w:rPr>
          <w:rFonts w:ascii="Garamond" w:hAnsi="Garamond"/>
          <w:szCs w:val="22"/>
        </w:rPr>
        <w:t>l’instruction 2020-I-05.</w:t>
      </w:r>
    </w:p>
    <w:p w14:paraId="602061EC" w14:textId="77777777" w:rsidR="00C44F2A" w:rsidRDefault="00C44F2A" w:rsidP="00C44F2A">
      <w:pPr>
        <w:spacing w:after="0" w:line="240" w:lineRule="auto"/>
        <w:jc w:val="center"/>
        <w:rPr>
          <w:rFonts w:ascii="Garamond" w:eastAsia="Times New Roman" w:hAnsi="Garamond" w:cs="Times New Roman"/>
          <w:b/>
          <w:color w:val="003B8E"/>
          <w:lang w:eastAsia="fr-FR"/>
        </w:rPr>
      </w:pPr>
    </w:p>
    <w:p w14:paraId="55598941" w14:textId="77777777" w:rsidR="00C44F2A" w:rsidRDefault="00C44F2A" w:rsidP="00C44F2A">
      <w:pPr>
        <w:spacing w:after="0" w:line="240" w:lineRule="auto"/>
        <w:jc w:val="center"/>
        <w:rPr>
          <w:rFonts w:ascii="Garamond" w:eastAsia="Times New Roman" w:hAnsi="Garamond" w:cs="Times New Roman"/>
          <w:b/>
          <w:color w:val="003B8E"/>
          <w:lang w:eastAsia="fr-FR"/>
        </w:rPr>
      </w:pPr>
    </w:p>
    <w:p w14:paraId="66F35961" w14:textId="77777777" w:rsidR="00C44F2A" w:rsidRDefault="00C44F2A" w:rsidP="00C44F2A">
      <w:pPr>
        <w:spacing w:after="0" w:line="240" w:lineRule="auto"/>
        <w:jc w:val="center"/>
        <w:rPr>
          <w:rFonts w:ascii="Garamond" w:eastAsia="Times New Roman" w:hAnsi="Garamond" w:cs="Times New Roman"/>
          <w:b/>
          <w:color w:val="003B8E"/>
          <w:lang w:eastAsia="fr-FR"/>
        </w:rPr>
      </w:pPr>
    </w:p>
    <w:p w14:paraId="20B8C51E" w14:textId="77777777" w:rsidR="00C44F2A" w:rsidRPr="00C20B08" w:rsidRDefault="00C44F2A" w:rsidP="00C44F2A">
      <w:pPr>
        <w:spacing w:after="0" w:line="240" w:lineRule="auto"/>
        <w:jc w:val="center"/>
        <w:rPr>
          <w:rFonts w:ascii="Garamond" w:eastAsia="Times New Roman" w:hAnsi="Garamond" w:cs="Times New Roman"/>
          <w:b/>
          <w:color w:val="003B8E"/>
          <w:lang w:eastAsia="fr-FR"/>
        </w:rPr>
      </w:pPr>
      <w:r w:rsidRPr="00C20B08">
        <w:rPr>
          <w:rFonts w:ascii="Garamond" w:eastAsia="Times New Roman" w:hAnsi="Garamond" w:cs="Times New Roman"/>
          <w:b/>
          <w:color w:val="003B8E"/>
          <w:lang w:eastAsia="fr-FR"/>
        </w:rPr>
        <w:t>PF.0</w:t>
      </w:r>
      <w:r w:rsidR="00D022E4">
        <w:rPr>
          <w:rFonts w:ascii="Garamond" w:eastAsia="Times New Roman" w:hAnsi="Garamond" w:cs="Times New Roman"/>
          <w:b/>
          <w:color w:val="003B8E"/>
          <w:lang w:eastAsia="fr-FR"/>
        </w:rPr>
        <w:t>8</w:t>
      </w:r>
      <w:r w:rsidRPr="00C20B08">
        <w:rPr>
          <w:rFonts w:ascii="Garamond" w:eastAsia="Times New Roman" w:hAnsi="Garamond" w:cs="Times New Roman"/>
          <w:b/>
          <w:color w:val="003B8E"/>
          <w:lang w:eastAsia="fr-FR"/>
        </w:rPr>
        <w:t>.0</w:t>
      </w:r>
      <w:r w:rsidR="00D022E4">
        <w:rPr>
          <w:rFonts w:ascii="Garamond" w:eastAsia="Times New Roman" w:hAnsi="Garamond" w:cs="Times New Roman"/>
          <w:b/>
          <w:color w:val="003B8E"/>
          <w:lang w:eastAsia="fr-FR"/>
        </w:rPr>
        <w:t>1</w:t>
      </w:r>
    </w:p>
    <w:p w14:paraId="6B6ED26F" w14:textId="77777777" w:rsidR="00D022E4" w:rsidRDefault="00D022E4" w:rsidP="00C44F2A">
      <w:pPr>
        <w:spacing w:after="0" w:line="240" w:lineRule="auto"/>
        <w:jc w:val="center"/>
        <w:rPr>
          <w:rFonts w:ascii="Garamond" w:eastAsia="Times New Roman" w:hAnsi="Garamond" w:cs="Times New Roman"/>
          <w:b/>
          <w:color w:val="003B8E"/>
          <w:lang w:eastAsia="fr-FR"/>
        </w:rPr>
      </w:pPr>
      <w:r w:rsidRPr="00D022E4">
        <w:rPr>
          <w:rFonts w:ascii="Garamond" w:eastAsia="Times New Roman" w:hAnsi="Garamond" w:cs="Times New Roman"/>
          <w:b/>
          <w:color w:val="003B8E"/>
          <w:lang w:eastAsia="fr-FR"/>
        </w:rPr>
        <w:t>Positions ouvertes sur produits dérivés</w:t>
      </w:r>
    </w:p>
    <w:p w14:paraId="158BD18E" w14:textId="77777777" w:rsidR="00C44F2A" w:rsidRPr="00C20B08" w:rsidRDefault="00C44F2A" w:rsidP="00C44F2A">
      <w:pPr>
        <w:spacing w:after="0" w:line="240" w:lineRule="auto"/>
        <w:jc w:val="center"/>
        <w:rPr>
          <w:rFonts w:ascii="Garamond" w:eastAsia="Times New Roman" w:hAnsi="Garamond" w:cs="Times New Roman"/>
          <w:b/>
          <w:color w:val="003B8E"/>
          <w:lang w:eastAsia="fr-FR"/>
        </w:rPr>
      </w:pPr>
      <w:r w:rsidRPr="00C20B08">
        <w:rPr>
          <w:rFonts w:ascii="Garamond" w:eastAsia="Times New Roman" w:hAnsi="Garamond" w:cs="Times New Roman"/>
          <w:b/>
          <w:color w:val="003B8E"/>
          <w:lang w:eastAsia="fr-FR"/>
        </w:rPr>
        <w:t>(Remise annuelle et trimestrielle)</w:t>
      </w:r>
    </w:p>
    <w:p w14:paraId="2FF2F759" w14:textId="77777777" w:rsidR="00C44F2A" w:rsidRPr="00C20B08" w:rsidRDefault="00C44F2A" w:rsidP="00C44F2A">
      <w:pPr>
        <w:pStyle w:val="Paragraphedeliste1"/>
        <w:spacing w:before="20"/>
        <w:ind w:left="0"/>
        <w:contextualSpacing w:val="0"/>
        <w:rPr>
          <w:rFonts w:ascii="Garamond" w:hAnsi="Garamond"/>
          <w:szCs w:val="22"/>
        </w:rPr>
      </w:pPr>
    </w:p>
    <w:p w14:paraId="1707E51B" w14:textId="77777777" w:rsidR="00957400" w:rsidRPr="00535385" w:rsidRDefault="00957400" w:rsidP="00535385">
      <w:pPr>
        <w:ind w:left="360"/>
        <w:jc w:val="both"/>
        <w:rPr>
          <w:rFonts w:ascii="Garamond" w:eastAsia="Times New Roman" w:hAnsi="Garamond" w:cs="Times New Roman"/>
          <w:b/>
          <w:lang w:eastAsia="fr-FR"/>
        </w:rPr>
      </w:pPr>
      <w:r>
        <w:rPr>
          <w:rFonts w:ascii="Garamond" w:eastAsia="Times New Roman" w:hAnsi="Garamond" w:cs="Times New Roman"/>
          <w:b/>
          <w:lang w:eastAsia="fr-FR"/>
        </w:rPr>
        <w:t>Cet état est à remettre uniquement sur la base du volontariat.</w:t>
      </w:r>
    </w:p>
    <w:p w14:paraId="24ECF322" w14:textId="77777777" w:rsidR="0086368F" w:rsidRDefault="0086368F" w:rsidP="00535385">
      <w:pPr>
        <w:ind w:left="360"/>
        <w:jc w:val="both"/>
        <w:rPr>
          <w:rFonts w:ascii="Garamond" w:eastAsia="Times New Roman" w:hAnsi="Garamond" w:cs="Times New Roman"/>
          <w:lang w:eastAsia="fr-FR"/>
        </w:rPr>
      </w:pPr>
      <w:r w:rsidRPr="0086368F">
        <w:rPr>
          <w:rFonts w:ascii="Garamond" w:eastAsia="Times New Roman" w:hAnsi="Garamond" w:cs="Times New Roman"/>
          <w:lang w:eastAsia="fr-FR"/>
        </w:rPr>
        <w:t>Cette section concerne les déclarations trimestrielles et annuelle</w:t>
      </w:r>
      <w:r w:rsidR="00A86984">
        <w:rPr>
          <w:rFonts w:ascii="Garamond" w:eastAsia="Times New Roman" w:hAnsi="Garamond" w:cs="Times New Roman"/>
          <w:lang w:eastAsia="fr-FR"/>
        </w:rPr>
        <w:t>s</w:t>
      </w:r>
      <w:r>
        <w:rPr>
          <w:rFonts w:ascii="Garamond" w:eastAsia="Times New Roman" w:hAnsi="Garamond" w:cs="Times New Roman"/>
          <w:lang w:eastAsia="fr-FR"/>
        </w:rPr>
        <w:t>.</w:t>
      </w:r>
    </w:p>
    <w:p w14:paraId="31382D47" w14:textId="77777777" w:rsidR="0086368F" w:rsidRDefault="0086368F" w:rsidP="00535385">
      <w:pPr>
        <w:ind w:left="360"/>
        <w:jc w:val="both"/>
        <w:rPr>
          <w:rFonts w:ascii="Garamond" w:eastAsia="Times New Roman" w:hAnsi="Garamond" w:cs="Times New Roman"/>
          <w:lang w:eastAsia="fr-FR"/>
        </w:rPr>
      </w:pPr>
      <w:r w:rsidRPr="0086368F">
        <w:rPr>
          <w:rFonts w:ascii="Garamond" w:eastAsia="Times New Roman" w:hAnsi="Garamond" w:cs="Times New Roman"/>
          <w:lang w:eastAsia="fr-FR"/>
        </w:rPr>
        <w:t>Les catégories de dérivés visées dans ce modèle sont celles définies à l'annexe IV «</w:t>
      </w:r>
      <w:r w:rsidR="00A31DDE">
        <w:rPr>
          <w:rFonts w:ascii="Garamond" w:eastAsia="Times New Roman" w:hAnsi="Garamond" w:cs="Times New Roman"/>
          <w:lang w:eastAsia="fr-FR"/>
        </w:rPr>
        <w:t xml:space="preserve"> </w:t>
      </w:r>
      <w:r w:rsidRPr="0086368F">
        <w:rPr>
          <w:rFonts w:ascii="Garamond" w:eastAsia="Times New Roman" w:hAnsi="Garamond" w:cs="Times New Roman"/>
          <w:lang w:eastAsia="fr-FR"/>
        </w:rPr>
        <w:t>Catégories d'actifs</w:t>
      </w:r>
      <w:r w:rsidR="00A31DDE">
        <w:rPr>
          <w:rFonts w:ascii="Garamond" w:eastAsia="Times New Roman" w:hAnsi="Garamond" w:cs="Times New Roman"/>
          <w:lang w:eastAsia="fr-FR"/>
        </w:rPr>
        <w:t xml:space="preserve"> </w:t>
      </w:r>
      <w:r w:rsidRPr="0086368F">
        <w:rPr>
          <w:rFonts w:ascii="Garamond" w:eastAsia="Times New Roman" w:hAnsi="Garamond" w:cs="Times New Roman"/>
          <w:lang w:eastAsia="fr-FR"/>
        </w:rPr>
        <w:t>» du présent</w:t>
      </w:r>
      <w:r>
        <w:rPr>
          <w:rFonts w:ascii="Garamond" w:eastAsia="Times New Roman" w:hAnsi="Garamond" w:cs="Times New Roman"/>
          <w:lang w:eastAsia="fr-FR"/>
        </w:rPr>
        <w:t xml:space="preserve"> </w:t>
      </w:r>
      <w:r w:rsidRPr="0086368F">
        <w:rPr>
          <w:rFonts w:ascii="Garamond" w:eastAsia="Times New Roman" w:hAnsi="Garamond" w:cs="Times New Roman"/>
          <w:lang w:eastAsia="fr-FR"/>
        </w:rPr>
        <w:t>règlement, et les références aux codes CIC renvoient à l'annexe V «</w:t>
      </w:r>
      <w:r w:rsidR="00A31DDE">
        <w:rPr>
          <w:rFonts w:ascii="Garamond" w:eastAsia="Times New Roman" w:hAnsi="Garamond" w:cs="Times New Roman"/>
          <w:lang w:eastAsia="fr-FR"/>
        </w:rPr>
        <w:t xml:space="preserve"> </w:t>
      </w:r>
      <w:r w:rsidRPr="0086368F">
        <w:rPr>
          <w:rFonts w:ascii="Garamond" w:eastAsia="Times New Roman" w:hAnsi="Garamond" w:cs="Times New Roman"/>
          <w:lang w:eastAsia="fr-FR"/>
        </w:rPr>
        <w:t>Tableau des codes CIC</w:t>
      </w:r>
      <w:r w:rsidR="00A31DDE">
        <w:rPr>
          <w:rFonts w:ascii="Garamond" w:eastAsia="Times New Roman" w:hAnsi="Garamond" w:cs="Times New Roman"/>
          <w:lang w:eastAsia="fr-FR"/>
        </w:rPr>
        <w:t xml:space="preserve"> </w:t>
      </w:r>
      <w:r w:rsidRPr="0086368F">
        <w:rPr>
          <w:rFonts w:ascii="Garamond" w:eastAsia="Times New Roman" w:hAnsi="Garamond" w:cs="Times New Roman"/>
          <w:lang w:eastAsia="fr-FR"/>
        </w:rPr>
        <w:t>» du présent règlement.</w:t>
      </w:r>
      <w:r>
        <w:rPr>
          <w:rFonts w:ascii="Garamond" w:eastAsia="Times New Roman" w:hAnsi="Garamond" w:cs="Times New Roman"/>
          <w:lang w:eastAsia="fr-FR"/>
        </w:rPr>
        <w:t xml:space="preserve"> </w:t>
      </w:r>
      <w:r w:rsidRPr="0086368F">
        <w:rPr>
          <w:rFonts w:ascii="Garamond" w:eastAsia="Times New Roman" w:hAnsi="Garamond" w:cs="Times New Roman"/>
          <w:lang w:eastAsia="fr-FR"/>
        </w:rPr>
        <w:t>Ce modèle contient une liste, élément par élément, des dérivés qui sont détenus directement par l'entreprise (c'est</w:t>
      </w:r>
      <w:r w:rsidR="00A31DDE">
        <w:rPr>
          <w:rFonts w:ascii="Garamond" w:eastAsia="Times New Roman" w:hAnsi="Garamond" w:cs="Times New Roman"/>
          <w:lang w:eastAsia="fr-FR"/>
        </w:rPr>
        <w:t xml:space="preserve"> </w:t>
      </w:r>
      <w:r w:rsidRPr="0086368F">
        <w:rPr>
          <w:rFonts w:ascii="Garamond" w:eastAsia="Times New Roman" w:hAnsi="Garamond" w:cs="Times New Roman"/>
          <w:lang w:eastAsia="fr-FR"/>
        </w:rPr>
        <w:t>à-dire non «</w:t>
      </w:r>
      <w:r w:rsidR="00A31DDE">
        <w:rPr>
          <w:rFonts w:ascii="Garamond" w:eastAsia="Times New Roman" w:hAnsi="Garamond" w:cs="Times New Roman"/>
          <w:lang w:eastAsia="fr-FR"/>
        </w:rPr>
        <w:t xml:space="preserve"> </w:t>
      </w:r>
      <w:r w:rsidRPr="0086368F">
        <w:rPr>
          <w:rFonts w:ascii="Garamond" w:eastAsia="Times New Roman" w:hAnsi="Garamond" w:cs="Times New Roman"/>
          <w:lang w:eastAsia="fr-FR"/>
        </w:rPr>
        <w:t>par transparence</w:t>
      </w:r>
      <w:r w:rsidR="00A31DDE">
        <w:rPr>
          <w:rFonts w:ascii="Garamond" w:eastAsia="Times New Roman" w:hAnsi="Garamond" w:cs="Times New Roman"/>
          <w:lang w:eastAsia="fr-FR"/>
        </w:rPr>
        <w:t xml:space="preserve"> </w:t>
      </w:r>
      <w:r w:rsidRPr="0086368F">
        <w:rPr>
          <w:rFonts w:ascii="Garamond" w:eastAsia="Times New Roman" w:hAnsi="Garamond" w:cs="Times New Roman"/>
          <w:lang w:eastAsia="fr-FR"/>
        </w:rPr>
        <w:t>») et qui relèvent</w:t>
      </w:r>
      <w:r>
        <w:rPr>
          <w:rFonts w:ascii="Garamond" w:eastAsia="Times New Roman" w:hAnsi="Garamond" w:cs="Times New Roman"/>
          <w:lang w:eastAsia="fr-FR"/>
        </w:rPr>
        <w:t xml:space="preserve"> des catégories d'actifs A à F.</w:t>
      </w:r>
    </w:p>
    <w:p w14:paraId="532DD309" w14:textId="77777777" w:rsidR="00C44F2A" w:rsidRDefault="00D022E4" w:rsidP="00535385">
      <w:pPr>
        <w:ind w:left="360"/>
        <w:jc w:val="both"/>
        <w:rPr>
          <w:rFonts w:ascii="Garamond" w:eastAsia="Times New Roman" w:hAnsi="Garamond" w:cs="Times New Roman"/>
          <w:lang w:eastAsia="fr-FR"/>
        </w:rPr>
      </w:pPr>
      <w:r>
        <w:rPr>
          <w:rFonts w:ascii="Garamond" w:eastAsia="Times New Roman" w:hAnsi="Garamond" w:cs="Times New Roman"/>
          <w:lang w:eastAsia="fr-FR"/>
        </w:rPr>
        <w:t>Les produits dérivés sont considérés comme des actifs si leur valorisation solvabilité 2 est positive ou null</w:t>
      </w:r>
      <w:r w:rsidR="00A86984">
        <w:rPr>
          <w:rFonts w:ascii="Garamond" w:eastAsia="Times New Roman" w:hAnsi="Garamond" w:cs="Times New Roman"/>
          <w:lang w:eastAsia="fr-FR"/>
        </w:rPr>
        <w:t>e</w:t>
      </w:r>
      <w:r>
        <w:rPr>
          <w:rFonts w:ascii="Garamond" w:eastAsia="Times New Roman" w:hAnsi="Garamond" w:cs="Times New Roman"/>
          <w:lang w:eastAsia="fr-FR"/>
        </w:rPr>
        <w:t>. Ils sont considérés comme des passifs si leur valorisation solvabilité 2 est négative.</w:t>
      </w:r>
      <w:r w:rsidR="0086368F">
        <w:rPr>
          <w:rFonts w:ascii="Garamond" w:eastAsia="Times New Roman" w:hAnsi="Garamond" w:cs="Times New Roman"/>
          <w:lang w:eastAsia="fr-FR"/>
        </w:rPr>
        <w:t xml:space="preserve"> Il faut prendre en compte ici à la fois les produits dérivés considérés comme des actifs et des passifs.</w:t>
      </w:r>
    </w:p>
    <w:p w14:paraId="2005DCBC" w14:textId="77777777" w:rsidR="0086368F" w:rsidRDefault="0086368F" w:rsidP="00535385">
      <w:pPr>
        <w:ind w:left="360"/>
        <w:jc w:val="both"/>
        <w:rPr>
          <w:rFonts w:ascii="Garamond" w:eastAsia="Times New Roman" w:hAnsi="Garamond" w:cs="Times New Roman"/>
          <w:lang w:eastAsia="fr-FR"/>
        </w:rPr>
      </w:pPr>
      <w:r w:rsidRPr="0086368F">
        <w:rPr>
          <w:rFonts w:ascii="Garamond" w:eastAsia="Times New Roman" w:hAnsi="Garamond" w:cs="Times New Roman"/>
          <w:lang w:eastAsia="fr-FR"/>
        </w:rPr>
        <w:t>Les informations déclarées doivent couvrir tous les contrats dérivés existant durant la période de référence, qui</w:t>
      </w:r>
      <w:r>
        <w:rPr>
          <w:rFonts w:ascii="Garamond" w:eastAsia="Times New Roman" w:hAnsi="Garamond" w:cs="Times New Roman"/>
          <w:lang w:eastAsia="fr-FR"/>
        </w:rPr>
        <w:t xml:space="preserve"> </w:t>
      </w:r>
      <w:r w:rsidRPr="0086368F">
        <w:rPr>
          <w:rFonts w:ascii="Garamond" w:eastAsia="Times New Roman" w:hAnsi="Garamond" w:cs="Times New Roman"/>
          <w:lang w:eastAsia="fr-FR"/>
        </w:rPr>
        <w:t>n'ont pas été clôturés avant la date de référence de la déclaration</w:t>
      </w:r>
      <w:r>
        <w:rPr>
          <w:rFonts w:ascii="Garamond" w:eastAsia="Times New Roman" w:hAnsi="Garamond" w:cs="Times New Roman"/>
          <w:lang w:eastAsia="fr-FR"/>
        </w:rPr>
        <w:t>.</w:t>
      </w:r>
      <w:bookmarkStart w:id="0" w:name="_GoBack"/>
      <w:bookmarkEnd w:id="0"/>
    </w:p>
    <w:p w14:paraId="1BF1D152" w14:textId="77777777" w:rsidR="0086368F" w:rsidRPr="0086368F" w:rsidRDefault="0086368F" w:rsidP="0086368F">
      <w:pPr>
        <w:ind w:left="360"/>
        <w:jc w:val="both"/>
        <w:rPr>
          <w:rFonts w:ascii="Garamond" w:eastAsia="Times New Roman" w:hAnsi="Garamond" w:cs="Times New Roman"/>
          <w:lang w:eastAsia="fr-FR"/>
        </w:rPr>
      </w:pPr>
      <w:r w:rsidRPr="0086368F">
        <w:rPr>
          <w:rFonts w:ascii="Garamond" w:eastAsia="Times New Roman" w:hAnsi="Garamond" w:cs="Times New Roman"/>
          <w:lang w:eastAsia="fr-FR"/>
        </w:rPr>
        <w:t>En cas d'échanges fréquents sur un même dérivé ayant pour résultat de multiples positions ouvertes, le dérivé peut</w:t>
      </w:r>
      <w:r>
        <w:rPr>
          <w:rFonts w:ascii="Garamond" w:eastAsia="Times New Roman" w:hAnsi="Garamond" w:cs="Times New Roman"/>
          <w:lang w:eastAsia="fr-FR"/>
        </w:rPr>
        <w:t xml:space="preserve"> </w:t>
      </w:r>
      <w:r w:rsidRPr="0086368F">
        <w:rPr>
          <w:rFonts w:ascii="Garamond" w:eastAsia="Times New Roman" w:hAnsi="Garamond" w:cs="Times New Roman"/>
          <w:lang w:eastAsia="fr-FR"/>
        </w:rPr>
        <w:t>faire l'objet d'une déclaration sur une base agrégée ou nette, pour autant que toutes les caractéristiques pertinentes</w:t>
      </w:r>
      <w:r>
        <w:rPr>
          <w:rFonts w:ascii="Garamond" w:eastAsia="Times New Roman" w:hAnsi="Garamond" w:cs="Times New Roman"/>
          <w:lang w:eastAsia="fr-FR"/>
        </w:rPr>
        <w:t xml:space="preserve"> </w:t>
      </w:r>
      <w:r w:rsidRPr="0086368F">
        <w:rPr>
          <w:rFonts w:ascii="Garamond" w:eastAsia="Times New Roman" w:hAnsi="Garamond" w:cs="Times New Roman"/>
          <w:lang w:eastAsia="fr-FR"/>
        </w:rPr>
        <w:t>soient communes et que l'instruction spécifique pour chaque élément à déclarer soit respectée.</w:t>
      </w:r>
    </w:p>
    <w:p w14:paraId="26F7F309" w14:textId="77777777" w:rsidR="0086368F" w:rsidRPr="0086368F" w:rsidRDefault="0086368F" w:rsidP="0086368F">
      <w:pPr>
        <w:ind w:left="360"/>
        <w:jc w:val="both"/>
        <w:rPr>
          <w:rFonts w:ascii="Garamond" w:eastAsia="Times New Roman" w:hAnsi="Garamond" w:cs="Times New Roman"/>
          <w:lang w:eastAsia="fr-FR"/>
        </w:rPr>
      </w:pPr>
      <w:r w:rsidRPr="0086368F">
        <w:rPr>
          <w:rFonts w:ascii="Garamond" w:eastAsia="Times New Roman" w:hAnsi="Garamond" w:cs="Times New Roman"/>
          <w:lang w:eastAsia="fr-FR"/>
        </w:rPr>
        <w:t>Les éléments déclarés doivent avoir une valeur positive, sauf indication contraire dans les instructions.</w:t>
      </w:r>
    </w:p>
    <w:p w14:paraId="1133553F" w14:textId="77777777" w:rsidR="0086368F" w:rsidRPr="0086368F" w:rsidRDefault="0086368F" w:rsidP="0086368F">
      <w:pPr>
        <w:ind w:left="360"/>
        <w:jc w:val="both"/>
        <w:rPr>
          <w:rFonts w:ascii="Garamond" w:eastAsia="Times New Roman" w:hAnsi="Garamond" w:cs="Times New Roman"/>
          <w:lang w:eastAsia="fr-FR"/>
        </w:rPr>
      </w:pPr>
      <w:r w:rsidRPr="0086368F">
        <w:rPr>
          <w:rFonts w:ascii="Garamond" w:eastAsia="Times New Roman" w:hAnsi="Garamond" w:cs="Times New Roman"/>
          <w:lang w:eastAsia="fr-FR"/>
        </w:rPr>
        <w:t>Un dérivé est instrument financier ou un autre contrat présentant l'ensemble des trois caractéristiques suivantes:</w:t>
      </w:r>
    </w:p>
    <w:p w14:paraId="795A1578" w14:textId="77777777" w:rsidR="0086368F" w:rsidRPr="0086368F" w:rsidRDefault="0086368F" w:rsidP="00535385">
      <w:pPr>
        <w:ind w:left="708"/>
        <w:jc w:val="both"/>
        <w:rPr>
          <w:rFonts w:ascii="Garamond" w:eastAsia="Times New Roman" w:hAnsi="Garamond" w:cs="Times New Roman"/>
          <w:lang w:eastAsia="fr-FR"/>
        </w:rPr>
      </w:pPr>
      <w:r w:rsidRPr="0086368F">
        <w:rPr>
          <w:rFonts w:ascii="Garamond" w:eastAsia="Times New Roman" w:hAnsi="Garamond" w:cs="Times New Roman"/>
          <w:lang w:eastAsia="fr-FR"/>
        </w:rPr>
        <w:t>a) Sa valeur varie en fonction d'une variation d'un taux d'intérêt spécifié, du prix d'un instrument financier,</w:t>
      </w:r>
      <w:r>
        <w:rPr>
          <w:rFonts w:ascii="Garamond" w:eastAsia="Times New Roman" w:hAnsi="Garamond" w:cs="Times New Roman"/>
          <w:lang w:eastAsia="fr-FR"/>
        </w:rPr>
        <w:t xml:space="preserve"> </w:t>
      </w:r>
      <w:r w:rsidRPr="0086368F">
        <w:rPr>
          <w:rFonts w:ascii="Garamond" w:eastAsia="Times New Roman" w:hAnsi="Garamond" w:cs="Times New Roman"/>
          <w:lang w:eastAsia="fr-FR"/>
        </w:rPr>
        <w:t xml:space="preserve">du prix d'une marchandise, d'un cours de change, d'un indice de prix ou de taux, d'une </w:t>
      </w:r>
      <w:r w:rsidRPr="0086368F">
        <w:rPr>
          <w:rFonts w:ascii="Garamond" w:eastAsia="Times New Roman" w:hAnsi="Garamond" w:cs="Times New Roman"/>
          <w:lang w:eastAsia="fr-FR"/>
        </w:rPr>
        <w:lastRenderedPageBreak/>
        <w:t>notation de crédit</w:t>
      </w:r>
      <w:r>
        <w:rPr>
          <w:rFonts w:ascii="Garamond" w:eastAsia="Times New Roman" w:hAnsi="Garamond" w:cs="Times New Roman"/>
          <w:lang w:eastAsia="fr-FR"/>
        </w:rPr>
        <w:t xml:space="preserve"> </w:t>
      </w:r>
      <w:r w:rsidRPr="0086368F">
        <w:rPr>
          <w:rFonts w:ascii="Garamond" w:eastAsia="Times New Roman" w:hAnsi="Garamond" w:cs="Times New Roman"/>
          <w:lang w:eastAsia="fr-FR"/>
        </w:rPr>
        <w:t>ou d'un indice de crédit ou d'une autre variable, à condition que dans le cas d'une variable non financière,</w:t>
      </w:r>
      <w:r>
        <w:rPr>
          <w:rFonts w:ascii="Garamond" w:eastAsia="Times New Roman" w:hAnsi="Garamond" w:cs="Times New Roman"/>
          <w:lang w:eastAsia="fr-FR"/>
        </w:rPr>
        <w:t xml:space="preserve"> </w:t>
      </w:r>
      <w:r w:rsidRPr="0086368F">
        <w:rPr>
          <w:rFonts w:ascii="Garamond" w:eastAsia="Times New Roman" w:hAnsi="Garamond" w:cs="Times New Roman"/>
          <w:lang w:eastAsia="fr-FR"/>
        </w:rPr>
        <w:t>la variable ne soit pas spécifique à une des parties au contrat (parfois appelé le «</w:t>
      </w:r>
      <w:r>
        <w:rPr>
          <w:rFonts w:ascii="Garamond" w:eastAsia="Times New Roman" w:hAnsi="Garamond" w:cs="Times New Roman"/>
          <w:lang w:eastAsia="fr-FR"/>
        </w:rPr>
        <w:t xml:space="preserve"> </w:t>
      </w:r>
      <w:r w:rsidRPr="0086368F">
        <w:rPr>
          <w:rFonts w:ascii="Garamond" w:eastAsia="Times New Roman" w:hAnsi="Garamond" w:cs="Times New Roman"/>
          <w:lang w:eastAsia="fr-FR"/>
        </w:rPr>
        <w:t>sous-jacent</w:t>
      </w:r>
      <w:r>
        <w:rPr>
          <w:rFonts w:ascii="Garamond" w:eastAsia="Times New Roman" w:hAnsi="Garamond" w:cs="Times New Roman"/>
          <w:lang w:eastAsia="fr-FR"/>
        </w:rPr>
        <w:t xml:space="preserve"> </w:t>
      </w:r>
      <w:r w:rsidRPr="0086368F">
        <w:rPr>
          <w:rFonts w:ascii="Garamond" w:eastAsia="Times New Roman" w:hAnsi="Garamond" w:cs="Times New Roman"/>
          <w:lang w:eastAsia="fr-FR"/>
        </w:rPr>
        <w:t>»);</w:t>
      </w:r>
    </w:p>
    <w:p w14:paraId="0FF696A8" w14:textId="77777777" w:rsidR="0086368F" w:rsidRPr="0086368F" w:rsidRDefault="0086368F" w:rsidP="00535385">
      <w:pPr>
        <w:ind w:left="708"/>
        <w:jc w:val="both"/>
        <w:rPr>
          <w:rFonts w:ascii="Garamond" w:eastAsia="Times New Roman" w:hAnsi="Garamond" w:cs="Times New Roman"/>
          <w:lang w:eastAsia="fr-FR"/>
        </w:rPr>
      </w:pPr>
      <w:r w:rsidRPr="0086368F">
        <w:rPr>
          <w:rFonts w:ascii="Garamond" w:eastAsia="Times New Roman" w:hAnsi="Garamond" w:cs="Times New Roman"/>
          <w:lang w:eastAsia="fr-FR"/>
        </w:rPr>
        <w:t>b) Il ne requiert aucun placement net initial ou un placement net initial inférieur à celui qui serait nécessaire</w:t>
      </w:r>
      <w:r>
        <w:rPr>
          <w:rFonts w:ascii="Garamond" w:eastAsia="Times New Roman" w:hAnsi="Garamond" w:cs="Times New Roman"/>
          <w:lang w:eastAsia="fr-FR"/>
        </w:rPr>
        <w:t xml:space="preserve"> </w:t>
      </w:r>
      <w:r w:rsidRPr="0086368F">
        <w:rPr>
          <w:rFonts w:ascii="Garamond" w:eastAsia="Times New Roman" w:hAnsi="Garamond" w:cs="Times New Roman"/>
          <w:lang w:eastAsia="fr-FR"/>
        </w:rPr>
        <w:t>pour d'autres types de contrats dont on pourrait attendre des réactions similaires aux évolutions des</w:t>
      </w:r>
      <w:r>
        <w:rPr>
          <w:rFonts w:ascii="Garamond" w:eastAsia="Times New Roman" w:hAnsi="Garamond" w:cs="Times New Roman"/>
          <w:lang w:eastAsia="fr-FR"/>
        </w:rPr>
        <w:t xml:space="preserve"> </w:t>
      </w:r>
      <w:r w:rsidRPr="0086368F">
        <w:rPr>
          <w:rFonts w:ascii="Garamond" w:eastAsia="Times New Roman" w:hAnsi="Garamond" w:cs="Times New Roman"/>
          <w:lang w:eastAsia="fr-FR"/>
        </w:rPr>
        <w:t>conditions du marché;</w:t>
      </w:r>
    </w:p>
    <w:p w14:paraId="01FE5A77" w14:textId="77777777" w:rsidR="0086368F" w:rsidRPr="0086368F" w:rsidRDefault="0086368F" w:rsidP="00535385">
      <w:pPr>
        <w:ind w:left="708"/>
        <w:jc w:val="both"/>
        <w:rPr>
          <w:rFonts w:ascii="Garamond" w:eastAsia="Times New Roman" w:hAnsi="Garamond" w:cs="Times New Roman"/>
          <w:lang w:eastAsia="fr-FR"/>
        </w:rPr>
      </w:pPr>
      <w:r w:rsidRPr="0086368F">
        <w:rPr>
          <w:rFonts w:ascii="Garamond" w:eastAsia="Times New Roman" w:hAnsi="Garamond" w:cs="Times New Roman"/>
          <w:lang w:eastAsia="fr-FR"/>
        </w:rPr>
        <w:t>c) Il est réglé à une date future.</w:t>
      </w:r>
    </w:p>
    <w:p w14:paraId="15E139E3" w14:textId="77777777" w:rsidR="0086368F" w:rsidRDefault="0086368F" w:rsidP="00535385">
      <w:pPr>
        <w:ind w:left="360"/>
        <w:jc w:val="both"/>
        <w:rPr>
          <w:rFonts w:ascii="Garamond" w:eastAsia="Times New Roman" w:hAnsi="Garamond" w:cs="Times New Roman"/>
          <w:lang w:eastAsia="fr-FR"/>
        </w:rPr>
      </w:pPr>
      <w:r w:rsidRPr="0086368F">
        <w:rPr>
          <w:rFonts w:ascii="Garamond" w:eastAsia="Times New Roman" w:hAnsi="Garamond" w:cs="Times New Roman"/>
          <w:lang w:eastAsia="fr-FR"/>
        </w:rPr>
        <w:t>Ce modèle se compose de deux tableaux: «</w:t>
      </w:r>
      <w:r>
        <w:rPr>
          <w:rFonts w:ascii="Garamond" w:eastAsia="Times New Roman" w:hAnsi="Garamond" w:cs="Times New Roman"/>
          <w:lang w:eastAsia="fr-FR"/>
        </w:rPr>
        <w:t xml:space="preserve"> </w:t>
      </w:r>
      <w:r w:rsidRPr="0086368F">
        <w:rPr>
          <w:rFonts w:ascii="Garamond" w:eastAsia="Times New Roman" w:hAnsi="Garamond" w:cs="Times New Roman"/>
          <w:lang w:eastAsia="fr-FR"/>
        </w:rPr>
        <w:t>Informations sur les positions détenues</w:t>
      </w:r>
      <w:r>
        <w:rPr>
          <w:rFonts w:ascii="Garamond" w:eastAsia="Times New Roman" w:hAnsi="Garamond" w:cs="Times New Roman"/>
          <w:lang w:eastAsia="fr-FR"/>
        </w:rPr>
        <w:t xml:space="preserve"> </w:t>
      </w:r>
      <w:r w:rsidRPr="0086368F">
        <w:rPr>
          <w:rFonts w:ascii="Garamond" w:eastAsia="Times New Roman" w:hAnsi="Garamond" w:cs="Times New Roman"/>
          <w:lang w:eastAsia="fr-FR"/>
        </w:rPr>
        <w:t>» et «</w:t>
      </w:r>
      <w:r>
        <w:rPr>
          <w:rFonts w:ascii="Garamond" w:eastAsia="Times New Roman" w:hAnsi="Garamond" w:cs="Times New Roman"/>
          <w:lang w:eastAsia="fr-FR"/>
        </w:rPr>
        <w:t xml:space="preserve"> </w:t>
      </w:r>
      <w:r w:rsidRPr="0086368F">
        <w:rPr>
          <w:rFonts w:ascii="Garamond" w:eastAsia="Times New Roman" w:hAnsi="Garamond" w:cs="Times New Roman"/>
          <w:lang w:eastAsia="fr-FR"/>
        </w:rPr>
        <w:t>Informations sur les</w:t>
      </w:r>
      <w:r>
        <w:rPr>
          <w:rFonts w:ascii="Garamond" w:eastAsia="Times New Roman" w:hAnsi="Garamond" w:cs="Times New Roman"/>
          <w:lang w:eastAsia="fr-FR"/>
        </w:rPr>
        <w:t xml:space="preserve"> </w:t>
      </w:r>
      <w:r w:rsidRPr="0086368F">
        <w:rPr>
          <w:rFonts w:ascii="Garamond" w:eastAsia="Times New Roman" w:hAnsi="Garamond" w:cs="Times New Roman"/>
          <w:lang w:eastAsia="fr-FR"/>
        </w:rPr>
        <w:t>dérivés</w:t>
      </w:r>
      <w:r>
        <w:rPr>
          <w:rFonts w:ascii="Garamond" w:eastAsia="Times New Roman" w:hAnsi="Garamond" w:cs="Times New Roman"/>
          <w:lang w:eastAsia="fr-FR"/>
        </w:rPr>
        <w:t xml:space="preserve"> </w:t>
      </w:r>
      <w:r w:rsidRPr="0086368F">
        <w:rPr>
          <w:rFonts w:ascii="Garamond" w:eastAsia="Times New Roman" w:hAnsi="Garamond" w:cs="Times New Roman"/>
          <w:lang w:eastAsia="fr-FR"/>
        </w:rPr>
        <w:t>».</w:t>
      </w:r>
    </w:p>
    <w:p w14:paraId="7C7664D9" w14:textId="77777777" w:rsidR="00D92694" w:rsidRPr="00D92694" w:rsidRDefault="00D92694" w:rsidP="00D92694">
      <w:pPr>
        <w:ind w:left="360"/>
        <w:jc w:val="both"/>
        <w:rPr>
          <w:rFonts w:ascii="Garamond" w:eastAsia="Times New Roman" w:hAnsi="Garamond" w:cs="Times New Roman"/>
          <w:lang w:eastAsia="fr-FR"/>
        </w:rPr>
      </w:pPr>
      <w:r w:rsidRPr="00D92694">
        <w:rPr>
          <w:rFonts w:ascii="Garamond" w:eastAsia="Times New Roman" w:hAnsi="Garamond" w:cs="Times New Roman"/>
          <w:lang w:eastAsia="fr-FR"/>
        </w:rPr>
        <w:t>Dans le tableau «</w:t>
      </w:r>
      <w:r>
        <w:rPr>
          <w:rFonts w:ascii="Garamond" w:eastAsia="Times New Roman" w:hAnsi="Garamond" w:cs="Times New Roman"/>
          <w:lang w:eastAsia="fr-FR"/>
        </w:rPr>
        <w:t xml:space="preserve"> </w:t>
      </w:r>
      <w:r w:rsidRPr="00D92694">
        <w:rPr>
          <w:rFonts w:ascii="Garamond" w:eastAsia="Times New Roman" w:hAnsi="Garamond" w:cs="Times New Roman"/>
          <w:lang w:eastAsia="fr-FR"/>
        </w:rPr>
        <w:t>Informations sur les positions détenues</w:t>
      </w:r>
      <w:r>
        <w:rPr>
          <w:rFonts w:ascii="Garamond" w:eastAsia="Times New Roman" w:hAnsi="Garamond" w:cs="Times New Roman"/>
          <w:lang w:eastAsia="fr-FR"/>
        </w:rPr>
        <w:t xml:space="preserve"> </w:t>
      </w:r>
      <w:r w:rsidRPr="00D92694">
        <w:rPr>
          <w:rFonts w:ascii="Garamond" w:eastAsia="Times New Roman" w:hAnsi="Garamond" w:cs="Times New Roman"/>
          <w:lang w:eastAsia="fr-FR"/>
        </w:rPr>
        <w:t>», chaque dérivé doit être déclaré séparément, et il convient</w:t>
      </w:r>
      <w:r>
        <w:rPr>
          <w:rFonts w:ascii="Garamond" w:eastAsia="Times New Roman" w:hAnsi="Garamond" w:cs="Times New Roman"/>
          <w:lang w:eastAsia="fr-FR"/>
        </w:rPr>
        <w:t xml:space="preserve"> </w:t>
      </w:r>
      <w:r w:rsidRPr="00D92694">
        <w:rPr>
          <w:rFonts w:ascii="Garamond" w:eastAsia="Times New Roman" w:hAnsi="Garamond" w:cs="Times New Roman"/>
          <w:lang w:eastAsia="fr-FR"/>
        </w:rPr>
        <w:t>d'utiliser autant de lignes que nécessaire pour indiquer correctement toutes les variables non monétaires requises</w:t>
      </w:r>
      <w:r>
        <w:rPr>
          <w:rFonts w:ascii="Garamond" w:eastAsia="Times New Roman" w:hAnsi="Garamond" w:cs="Times New Roman"/>
          <w:lang w:eastAsia="fr-FR"/>
        </w:rPr>
        <w:t xml:space="preserve"> </w:t>
      </w:r>
      <w:r w:rsidRPr="00D92694">
        <w:rPr>
          <w:rFonts w:ascii="Garamond" w:eastAsia="Times New Roman" w:hAnsi="Garamond" w:cs="Times New Roman"/>
          <w:lang w:eastAsia="fr-FR"/>
        </w:rPr>
        <w:t>dans ce tableau. Si deux valeurs peuvent être attribuées à une variable pour un même dérivé, celui-ci doit être</w:t>
      </w:r>
      <w:r>
        <w:rPr>
          <w:rFonts w:ascii="Garamond" w:eastAsia="Times New Roman" w:hAnsi="Garamond" w:cs="Times New Roman"/>
          <w:lang w:eastAsia="fr-FR"/>
        </w:rPr>
        <w:t xml:space="preserve"> </w:t>
      </w:r>
      <w:r w:rsidRPr="00D92694">
        <w:rPr>
          <w:rFonts w:ascii="Garamond" w:eastAsia="Times New Roman" w:hAnsi="Garamond" w:cs="Times New Roman"/>
          <w:lang w:eastAsia="fr-FR"/>
        </w:rPr>
        <w:t>déclaré sur plus d'une ligne.</w:t>
      </w:r>
    </w:p>
    <w:p w14:paraId="6507D031" w14:textId="77777777" w:rsidR="00D92694" w:rsidRPr="00D92694" w:rsidRDefault="00D92694" w:rsidP="00D92694">
      <w:pPr>
        <w:ind w:left="360"/>
        <w:jc w:val="both"/>
        <w:rPr>
          <w:rFonts w:ascii="Garamond" w:eastAsia="Times New Roman" w:hAnsi="Garamond" w:cs="Times New Roman"/>
          <w:lang w:eastAsia="fr-FR"/>
        </w:rPr>
      </w:pPr>
      <w:r w:rsidRPr="00D92694">
        <w:rPr>
          <w:rFonts w:ascii="Garamond" w:eastAsia="Times New Roman" w:hAnsi="Garamond" w:cs="Times New Roman"/>
          <w:lang w:eastAsia="fr-FR"/>
        </w:rPr>
        <w:t>En particulier, pour les dérivés comportant plus d'une paire de devises, il convient de distinguer les paires et de les</w:t>
      </w:r>
      <w:r>
        <w:rPr>
          <w:rFonts w:ascii="Garamond" w:eastAsia="Times New Roman" w:hAnsi="Garamond" w:cs="Times New Roman"/>
          <w:lang w:eastAsia="fr-FR"/>
        </w:rPr>
        <w:t xml:space="preserve"> </w:t>
      </w:r>
      <w:r w:rsidRPr="00D92694">
        <w:rPr>
          <w:rFonts w:ascii="Garamond" w:eastAsia="Times New Roman" w:hAnsi="Garamond" w:cs="Times New Roman"/>
          <w:lang w:eastAsia="fr-FR"/>
        </w:rPr>
        <w:t>déclarer sur des lignes différentes.</w:t>
      </w:r>
    </w:p>
    <w:p w14:paraId="77CACF46" w14:textId="77777777" w:rsidR="00D92694" w:rsidRPr="00D92694" w:rsidRDefault="00D92694" w:rsidP="00D92694">
      <w:pPr>
        <w:ind w:left="360"/>
        <w:jc w:val="both"/>
        <w:rPr>
          <w:rFonts w:ascii="Garamond" w:eastAsia="Times New Roman" w:hAnsi="Garamond" w:cs="Times New Roman"/>
          <w:lang w:eastAsia="fr-FR"/>
        </w:rPr>
      </w:pPr>
      <w:r w:rsidRPr="00D92694">
        <w:rPr>
          <w:rFonts w:ascii="Garamond" w:eastAsia="Times New Roman" w:hAnsi="Garamond" w:cs="Times New Roman"/>
          <w:lang w:eastAsia="fr-FR"/>
        </w:rPr>
        <w:t>Dans le tableau «</w:t>
      </w:r>
      <w:r>
        <w:rPr>
          <w:rFonts w:ascii="Garamond" w:eastAsia="Times New Roman" w:hAnsi="Garamond" w:cs="Times New Roman"/>
          <w:lang w:eastAsia="fr-FR"/>
        </w:rPr>
        <w:t xml:space="preserve"> </w:t>
      </w:r>
      <w:r w:rsidRPr="00D92694">
        <w:rPr>
          <w:rFonts w:ascii="Garamond" w:eastAsia="Times New Roman" w:hAnsi="Garamond" w:cs="Times New Roman"/>
          <w:lang w:eastAsia="fr-FR"/>
        </w:rPr>
        <w:t>Informations sur les dérivés</w:t>
      </w:r>
      <w:r>
        <w:rPr>
          <w:rFonts w:ascii="Garamond" w:eastAsia="Times New Roman" w:hAnsi="Garamond" w:cs="Times New Roman"/>
          <w:lang w:eastAsia="fr-FR"/>
        </w:rPr>
        <w:t xml:space="preserve"> </w:t>
      </w:r>
      <w:r w:rsidRPr="00D92694">
        <w:rPr>
          <w:rFonts w:ascii="Garamond" w:eastAsia="Times New Roman" w:hAnsi="Garamond" w:cs="Times New Roman"/>
          <w:lang w:eastAsia="fr-FR"/>
        </w:rPr>
        <w:t>», il convient de déclarer chaque dérivé séparément, à raison d'une</w:t>
      </w:r>
      <w:r>
        <w:rPr>
          <w:rFonts w:ascii="Garamond" w:eastAsia="Times New Roman" w:hAnsi="Garamond" w:cs="Times New Roman"/>
          <w:lang w:eastAsia="fr-FR"/>
        </w:rPr>
        <w:t xml:space="preserve"> </w:t>
      </w:r>
      <w:r w:rsidRPr="00D92694">
        <w:rPr>
          <w:rFonts w:ascii="Garamond" w:eastAsia="Times New Roman" w:hAnsi="Garamond" w:cs="Times New Roman"/>
          <w:lang w:eastAsia="fr-FR"/>
        </w:rPr>
        <w:t>ligne par dérivé, en complétant toutes les variables requises dans ce tableau.</w:t>
      </w:r>
    </w:p>
    <w:p w14:paraId="1D9E7EC0" w14:textId="6CA33A59" w:rsidR="0086368F" w:rsidRPr="002C636D" w:rsidRDefault="0086368F" w:rsidP="00535385">
      <w:pPr>
        <w:jc w:val="both"/>
        <w:rPr>
          <w:rFonts w:ascii="Garamond" w:eastAsia="Times New Roman" w:hAnsi="Garamond" w:cs="Times New Roman"/>
          <w:lang w:eastAsia="fr-FR"/>
        </w:rPr>
      </w:pPr>
    </w:p>
    <w:p w14:paraId="64713ACE" w14:textId="77777777" w:rsidR="00DA437B" w:rsidRPr="00DA437B" w:rsidRDefault="00DA437B" w:rsidP="002C636D">
      <w:pPr>
        <w:spacing w:after="0" w:line="240" w:lineRule="auto"/>
        <w:jc w:val="center"/>
        <w:rPr>
          <w:rFonts w:ascii="Garamond" w:eastAsia="Times New Roman" w:hAnsi="Garamond" w:cs="Times New Roman"/>
          <w:b/>
          <w:color w:val="003B8E"/>
          <w:lang w:eastAsia="fr-FR"/>
        </w:rPr>
      </w:pPr>
      <w:r w:rsidRPr="00DA437B">
        <w:rPr>
          <w:rFonts w:ascii="Garamond" w:eastAsia="Times New Roman" w:hAnsi="Garamond" w:cs="Times New Roman"/>
          <w:b/>
          <w:color w:val="003B8E"/>
          <w:lang w:eastAsia="fr-FR"/>
        </w:rPr>
        <w:t>PF.</w:t>
      </w:r>
      <w:r w:rsidR="00D022E4">
        <w:rPr>
          <w:rFonts w:ascii="Garamond" w:eastAsia="Times New Roman" w:hAnsi="Garamond" w:cs="Times New Roman"/>
          <w:b/>
          <w:color w:val="003B8E"/>
          <w:lang w:eastAsia="fr-FR"/>
        </w:rPr>
        <w:t>08</w:t>
      </w:r>
      <w:r w:rsidRPr="00DA437B">
        <w:rPr>
          <w:rFonts w:ascii="Garamond" w:eastAsia="Times New Roman" w:hAnsi="Garamond" w:cs="Times New Roman"/>
          <w:b/>
          <w:color w:val="003B8E"/>
          <w:lang w:eastAsia="fr-FR"/>
        </w:rPr>
        <w:t>.0</w:t>
      </w:r>
      <w:r w:rsidR="00D022E4">
        <w:rPr>
          <w:rFonts w:ascii="Garamond" w:eastAsia="Times New Roman" w:hAnsi="Garamond" w:cs="Times New Roman"/>
          <w:b/>
          <w:color w:val="003B8E"/>
          <w:lang w:eastAsia="fr-FR"/>
        </w:rPr>
        <w:t>1</w:t>
      </w:r>
      <w:r w:rsidRPr="00DA437B">
        <w:rPr>
          <w:rFonts w:ascii="Garamond" w:eastAsia="Times New Roman" w:hAnsi="Garamond" w:cs="Times New Roman"/>
          <w:b/>
          <w:color w:val="003B8E"/>
          <w:lang w:eastAsia="fr-FR"/>
        </w:rPr>
        <w:t>.</w:t>
      </w:r>
      <w:r w:rsidR="00D022E4">
        <w:rPr>
          <w:rFonts w:ascii="Garamond" w:eastAsia="Times New Roman" w:hAnsi="Garamond" w:cs="Times New Roman"/>
          <w:b/>
          <w:color w:val="003B8E"/>
          <w:lang w:eastAsia="fr-FR"/>
        </w:rPr>
        <w:t>24</w:t>
      </w:r>
      <w:r w:rsidRPr="00DA437B">
        <w:rPr>
          <w:rFonts w:ascii="Garamond" w:eastAsia="Times New Roman" w:hAnsi="Garamond" w:cs="Times New Roman"/>
          <w:b/>
          <w:color w:val="003B8E"/>
          <w:lang w:eastAsia="fr-FR"/>
        </w:rPr>
        <w:t>.01</w:t>
      </w:r>
    </w:p>
    <w:p w14:paraId="66E9CD5F" w14:textId="77777777" w:rsidR="00C44F2A" w:rsidRPr="00C20B08" w:rsidRDefault="00DA437B" w:rsidP="002C636D">
      <w:pPr>
        <w:spacing w:after="0" w:line="240" w:lineRule="auto"/>
        <w:jc w:val="center"/>
        <w:rPr>
          <w:rFonts w:ascii="Garamond" w:eastAsia="Times New Roman" w:hAnsi="Garamond" w:cs="Times New Roman"/>
          <w:b/>
          <w:color w:val="003B8E"/>
          <w:lang w:eastAsia="fr-FR"/>
        </w:rPr>
      </w:pPr>
      <w:r w:rsidRPr="00DA437B">
        <w:rPr>
          <w:rFonts w:ascii="Garamond" w:eastAsia="Times New Roman" w:hAnsi="Garamond" w:cs="Times New Roman"/>
          <w:b/>
          <w:color w:val="003B8E"/>
          <w:lang w:eastAsia="fr-FR"/>
        </w:rPr>
        <w:t>Informations sur les positions détenues</w:t>
      </w:r>
    </w:p>
    <w:p w14:paraId="32789BDD" w14:textId="77777777" w:rsidR="00C44F2A" w:rsidRPr="00C20B08" w:rsidRDefault="00C44F2A" w:rsidP="00C44F2A">
      <w:pPr>
        <w:pStyle w:val="Paragraphedeliste"/>
        <w:numPr>
          <w:ilvl w:val="0"/>
          <w:numId w:val="2"/>
        </w:numPr>
        <w:spacing w:before="120" w:after="0" w:line="240" w:lineRule="auto"/>
        <w:rPr>
          <w:rFonts w:ascii="Garamond" w:hAnsi="Garamond"/>
          <w:b/>
        </w:rPr>
      </w:pPr>
      <w:r w:rsidRPr="00C20B08">
        <w:rPr>
          <w:rFonts w:ascii="Garamond" w:eastAsia="Times New Roman" w:hAnsi="Garamond" w:cs="Times New Roman"/>
          <w:b/>
          <w:lang w:eastAsia="fr-FR"/>
        </w:rPr>
        <w:t>Colonnes</w:t>
      </w:r>
    </w:p>
    <w:p w14:paraId="58004BC5" w14:textId="77777777" w:rsidR="002205D3" w:rsidRPr="00C20B08" w:rsidRDefault="002205D3" w:rsidP="00C44F2A">
      <w:pPr>
        <w:rPr>
          <w:rFonts w:ascii="Garamond" w:hAnsi="Garamond"/>
        </w:rPr>
      </w:pPr>
    </w:p>
    <w:tbl>
      <w:tblPr>
        <w:tblW w:w="9157" w:type="dxa"/>
        <w:tblInd w:w="55" w:type="dxa"/>
        <w:tblLayout w:type="fixed"/>
        <w:tblCellMar>
          <w:left w:w="70" w:type="dxa"/>
          <w:right w:w="70" w:type="dxa"/>
        </w:tblCellMar>
        <w:tblLook w:val="04A0" w:firstRow="1" w:lastRow="0" w:firstColumn="1" w:lastColumn="0" w:noHBand="0" w:noVBand="1"/>
      </w:tblPr>
      <w:tblGrid>
        <w:gridCol w:w="1858"/>
        <w:gridCol w:w="947"/>
        <w:gridCol w:w="6352"/>
      </w:tblGrid>
      <w:tr w:rsidR="00C44F2A" w:rsidRPr="00C20B08" w14:paraId="242068B4" w14:textId="77777777" w:rsidTr="002205D3">
        <w:trPr>
          <w:trHeight w:val="300"/>
        </w:trPr>
        <w:tc>
          <w:tcPr>
            <w:tcW w:w="1858" w:type="dxa"/>
            <w:tcBorders>
              <w:top w:val="single" w:sz="4" w:space="0" w:color="auto"/>
              <w:left w:val="single" w:sz="4" w:space="0" w:color="auto"/>
              <w:bottom w:val="single" w:sz="4" w:space="0" w:color="auto"/>
              <w:right w:val="single" w:sz="4" w:space="0" w:color="auto"/>
            </w:tcBorders>
            <w:shd w:val="clear" w:color="auto" w:fill="auto"/>
            <w:vAlign w:val="center"/>
          </w:tcPr>
          <w:p w14:paraId="1E67A048" w14:textId="77777777" w:rsidR="00C44F2A" w:rsidRPr="00C20B08" w:rsidRDefault="00C44F2A" w:rsidP="00C44F2A">
            <w:pPr>
              <w:spacing w:after="0" w:line="240" w:lineRule="auto"/>
              <w:rPr>
                <w:rFonts w:ascii="Garamond" w:eastAsia="Times New Roman" w:hAnsi="Garamond" w:cs="Times New Roman"/>
                <w:b/>
                <w:bCs/>
                <w:lang w:eastAsia="fr-FR"/>
              </w:rPr>
            </w:pPr>
            <w:r w:rsidRPr="00C20B08">
              <w:rPr>
                <w:rFonts w:ascii="Garamond" w:eastAsia="Times New Roman" w:hAnsi="Garamond" w:cs="Times New Roman"/>
                <w:b/>
                <w:bCs/>
                <w:lang w:eastAsia="fr-FR"/>
              </w:rPr>
              <w:t>Intitulé</w:t>
            </w:r>
            <w:r w:rsidRPr="00C20B08">
              <w:rPr>
                <w:rFonts w:ascii="Garamond" w:eastAsia="Times New Roman" w:hAnsi="Garamond" w:cs="Times New Roman"/>
                <w:b/>
                <w:bCs/>
                <w:lang w:eastAsia="fr-FR"/>
              </w:rPr>
              <w:tab/>
            </w:r>
          </w:p>
        </w:tc>
        <w:tc>
          <w:tcPr>
            <w:tcW w:w="9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7CAA39" w14:textId="77777777" w:rsidR="00C44F2A" w:rsidRPr="00C20B08" w:rsidRDefault="00C44F2A" w:rsidP="00C44F2A">
            <w:pPr>
              <w:spacing w:after="0" w:line="240" w:lineRule="auto"/>
              <w:rPr>
                <w:rFonts w:ascii="Garamond" w:eastAsia="Times New Roman" w:hAnsi="Garamond" w:cs="Times New Roman"/>
                <w:b/>
                <w:bCs/>
                <w:lang w:eastAsia="fr-FR"/>
              </w:rPr>
            </w:pPr>
            <w:r w:rsidRPr="009E21D6">
              <w:rPr>
                <w:rFonts w:ascii="Garamond" w:eastAsia="Times New Roman" w:hAnsi="Garamond" w:cs="Times New Roman"/>
                <w:b/>
                <w:bCs/>
                <w:lang w:eastAsia="fr-FR"/>
              </w:rPr>
              <w:t>Colonne</w:t>
            </w:r>
          </w:p>
        </w:tc>
        <w:tc>
          <w:tcPr>
            <w:tcW w:w="6352" w:type="dxa"/>
            <w:tcBorders>
              <w:top w:val="single" w:sz="4" w:space="0" w:color="auto"/>
              <w:left w:val="single" w:sz="4" w:space="0" w:color="auto"/>
              <w:bottom w:val="single" w:sz="4" w:space="0" w:color="auto"/>
              <w:right w:val="single" w:sz="4" w:space="0" w:color="auto"/>
            </w:tcBorders>
          </w:tcPr>
          <w:p w14:paraId="319B0BCC" w14:textId="77777777" w:rsidR="00C44F2A" w:rsidRPr="00C20B08" w:rsidRDefault="00C44F2A" w:rsidP="00C44F2A">
            <w:pPr>
              <w:spacing w:after="0" w:line="240" w:lineRule="auto"/>
              <w:rPr>
                <w:rFonts w:ascii="Garamond" w:eastAsia="Times New Roman" w:hAnsi="Garamond" w:cs="Times New Roman"/>
                <w:b/>
                <w:bCs/>
                <w:lang w:eastAsia="fr-FR"/>
              </w:rPr>
            </w:pPr>
            <w:r w:rsidRPr="00C20B08">
              <w:rPr>
                <w:rFonts w:ascii="Garamond" w:eastAsia="Times New Roman" w:hAnsi="Garamond" w:cs="Times New Roman"/>
                <w:b/>
                <w:bCs/>
                <w:lang w:eastAsia="fr-FR"/>
              </w:rPr>
              <w:t>Définition et formule</w:t>
            </w:r>
          </w:p>
        </w:tc>
      </w:tr>
      <w:tr w:rsidR="003469CD" w:rsidRPr="00C20B08" w14:paraId="404A83F2" w14:textId="77777777" w:rsidTr="00F209E5">
        <w:trPr>
          <w:trHeight w:val="300"/>
        </w:trPr>
        <w:tc>
          <w:tcPr>
            <w:tcW w:w="915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A5D81D5" w14:textId="77777777" w:rsidR="003469CD" w:rsidRPr="00C20B08" w:rsidRDefault="00C20DE7" w:rsidP="00C44F2A">
            <w:pPr>
              <w:spacing w:after="0" w:line="240" w:lineRule="auto"/>
              <w:rPr>
                <w:rFonts w:ascii="Garamond" w:eastAsia="Times New Roman" w:hAnsi="Garamond" w:cs="Times New Roman"/>
                <w:b/>
                <w:bCs/>
                <w:lang w:eastAsia="fr-FR"/>
              </w:rPr>
            </w:pPr>
            <w:r w:rsidRPr="00C20DE7">
              <w:rPr>
                <w:rFonts w:ascii="Garamond" w:eastAsia="Times New Roman" w:hAnsi="Garamond" w:cs="Times New Roman"/>
                <w:b/>
                <w:bCs/>
                <w:lang w:eastAsia="fr-FR"/>
              </w:rPr>
              <w:t>Informations sur les positions détenues</w:t>
            </w:r>
            <w:r>
              <w:rPr>
                <w:rFonts w:ascii="Garamond" w:eastAsia="Times New Roman" w:hAnsi="Garamond" w:cs="Times New Roman"/>
                <w:b/>
                <w:bCs/>
                <w:lang w:eastAsia="fr-FR"/>
              </w:rPr>
              <w:t xml:space="preserve"> (</w:t>
            </w:r>
            <w:r w:rsidR="00285218">
              <w:rPr>
                <w:rFonts w:ascii="Garamond" w:eastAsia="Times New Roman" w:hAnsi="Garamond" w:cs="Times New Roman"/>
                <w:b/>
                <w:bCs/>
                <w:lang w:eastAsia="fr-FR"/>
              </w:rPr>
              <w:t>PF.08.01.24</w:t>
            </w:r>
            <w:r w:rsidRPr="00C20DE7">
              <w:rPr>
                <w:rFonts w:ascii="Garamond" w:eastAsia="Times New Roman" w:hAnsi="Garamond" w:cs="Times New Roman"/>
                <w:b/>
                <w:bCs/>
                <w:lang w:eastAsia="fr-FR"/>
              </w:rPr>
              <w:t>.01</w:t>
            </w:r>
            <w:r>
              <w:rPr>
                <w:rFonts w:ascii="Garamond" w:eastAsia="Times New Roman" w:hAnsi="Garamond" w:cs="Times New Roman"/>
                <w:b/>
                <w:bCs/>
                <w:lang w:eastAsia="fr-FR"/>
              </w:rPr>
              <w:t>)</w:t>
            </w:r>
          </w:p>
        </w:tc>
      </w:tr>
      <w:tr w:rsidR="00C44F2A" w:rsidRPr="00C20B08" w14:paraId="51B36558"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05B4C444" w14:textId="77777777" w:rsidR="00C44F2A" w:rsidRPr="00C20B08" w:rsidRDefault="00C44F2A" w:rsidP="00C44F2A">
            <w:pPr>
              <w:rPr>
                <w:rFonts w:ascii="Garamond" w:hAnsi="Garamond"/>
              </w:rPr>
            </w:pPr>
            <w:r w:rsidRPr="00C20B08">
              <w:rPr>
                <w:rFonts w:ascii="Garamond" w:hAnsi="Garamond"/>
              </w:rPr>
              <w:t>Code d’identification de la ligne</w:t>
            </w:r>
          </w:p>
        </w:tc>
        <w:tc>
          <w:tcPr>
            <w:tcW w:w="947" w:type="dxa"/>
            <w:tcBorders>
              <w:top w:val="nil"/>
              <w:left w:val="single" w:sz="4" w:space="0" w:color="auto"/>
              <w:bottom w:val="single" w:sz="4" w:space="0" w:color="auto"/>
              <w:right w:val="single" w:sz="4" w:space="0" w:color="auto"/>
            </w:tcBorders>
            <w:shd w:val="clear" w:color="auto" w:fill="auto"/>
            <w:vAlign w:val="center"/>
          </w:tcPr>
          <w:p w14:paraId="02DA2705" w14:textId="77777777" w:rsidR="00C44F2A" w:rsidRPr="00C20B08" w:rsidRDefault="00C44F2A" w:rsidP="00C44F2A">
            <w:pPr>
              <w:jc w:val="center"/>
              <w:rPr>
                <w:rFonts w:ascii="Garamond" w:hAnsi="Garamond"/>
              </w:rPr>
            </w:pPr>
            <w:r w:rsidRPr="00C20B08">
              <w:rPr>
                <w:rFonts w:ascii="Garamond" w:hAnsi="Garamond"/>
              </w:rPr>
              <w:t>C0001</w:t>
            </w:r>
            <w:r w:rsidRPr="00C20B08">
              <w:rPr>
                <w:rFonts w:ascii="Garamond" w:hAnsi="Garamond"/>
              </w:rPr>
              <w:tab/>
            </w:r>
            <w:r w:rsidRPr="00C20B08">
              <w:rPr>
                <w:rFonts w:ascii="Garamond" w:hAnsi="Garamond"/>
              </w:rPr>
              <w:tab/>
            </w:r>
          </w:p>
        </w:tc>
        <w:tc>
          <w:tcPr>
            <w:tcW w:w="6352" w:type="dxa"/>
            <w:tcBorders>
              <w:top w:val="nil"/>
              <w:left w:val="single" w:sz="4" w:space="0" w:color="auto"/>
              <w:bottom w:val="single" w:sz="4" w:space="0" w:color="auto"/>
              <w:right w:val="single" w:sz="4" w:space="0" w:color="auto"/>
            </w:tcBorders>
          </w:tcPr>
          <w:p w14:paraId="061794C8" w14:textId="77777777" w:rsidR="00C44F2A" w:rsidRPr="00C20B08" w:rsidRDefault="00DA437B" w:rsidP="00C44F2A">
            <w:pPr>
              <w:rPr>
                <w:rFonts w:ascii="Garamond" w:hAnsi="Garamond"/>
              </w:rPr>
            </w:pPr>
            <w:r>
              <w:rPr>
                <w:rFonts w:ascii="Garamond" w:hAnsi="Garamond"/>
              </w:rPr>
              <w:t>Numérotation</w:t>
            </w:r>
            <w:r w:rsidR="00EF5D29">
              <w:rPr>
                <w:rFonts w:ascii="Garamond" w:hAnsi="Garamond"/>
              </w:rPr>
              <w:t>, lettres si besoin (code alpha numérique)</w:t>
            </w:r>
            <w:r>
              <w:rPr>
                <w:rFonts w:ascii="Garamond" w:hAnsi="Garamond"/>
              </w:rPr>
              <w:t>. Cette case est obligatoire.</w:t>
            </w:r>
          </w:p>
        </w:tc>
      </w:tr>
      <w:tr w:rsidR="00C44F2A" w:rsidRPr="00C20B08" w14:paraId="262115F8"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6A43C3A3" w14:textId="77777777" w:rsidR="00C44F2A" w:rsidRDefault="00C44F2A" w:rsidP="00152B2E">
            <w:pPr>
              <w:rPr>
                <w:rFonts w:ascii="Garamond" w:hAnsi="Garamond"/>
              </w:rPr>
            </w:pPr>
            <w:r w:rsidRPr="00C20B08">
              <w:rPr>
                <w:rFonts w:ascii="Garamond" w:hAnsi="Garamond"/>
              </w:rPr>
              <w:t>Code d’identification d</w:t>
            </w:r>
            <w:r w:rsidR="00D022E4">
              <w:rPr>
                <w:rFonts w:ascii="Garamond" w:hAnsi="Garamond"/>
              </w:rPr>
              <w:t>u dérivé</w:t>
            </w:r>
          </w:p>
          <w:p w14:paraId="44B53D99" w14:textId="77777777" w:rsidR="00152B2E" w:rsidRPr="00C20B08" w:rsidRDefault="00152B2E" w:rsidP="00152B2E">
            <w:pPr>
              <w:rPr>
                <w:rFonts w:ascii="Garamond" w:hAnsi="Garamond"/>
              </w:rPr>
            </w:pPr>
          </w:p>
        </w:tc>
        <w:tc>
          <w:tcPr>
            <w:tcW w:w="947" w:type="dxa"/>
            <w:tcBorders>
              <w:top w:val="nil"/>
              <w:left w:val="single" w:sz="4" w:space="0" w:color="auto"/>
              <w:bottom w:val="single" w:sz="4" w:space="0" w:color="auto"/>
              <w:right w:val="single" w:sz="4" w:space="0" w:color="auto"/>
            </w:tcBorders>
            <w:shd w:val="clear" w:color="auto" w:fill="auto"/>
            <w:vAlign w:val="center"/>
          </w:tcPr>
          <w:p w14:paraId="7808FA4F" w14:textId="77777777" w:rsidR="00C44F2A" w:rsidRPr="00C20B08" w:rsidRDefault="00C44F2A" w:rsidP="00C44F2A">
            <w:pPr>
              <w:jc w:val="center"/>
              <w:rPr>
                <w:rFonts w:ascii="Garamond" w:hAnsi="Garamond"/>
              </w:rPr>
            </w:pPr>
            <w:r w:rsidRPr="00C20B08">
              <w:rPr>
                <w:rFonts w:ascii="Garamond" w:hAnsi="Garamond"/>
              </w:rPr>
              <w:t>C0010</w:t>
            </w:r>
            <w:r w:rsidRPr="00C20B08">
              <w:rPr>
                <w:rFonts w:ascii="Garamond" w:hAnsi="Garamond"/>
              </w:rPr>
              <w:tab/>
            </w:r>
          </w:p>
        </w:tc>
        <w:tc>
          <w:tcPr>
            <w:tcW w:w="6352" w:type="dxa"/>
            <w:tcBorders>
              <w:top w:val="nil"/>
              <w:left w:val="single" w:sz="4" w:space="0" w:color="auto"/>
              <w:bottom w:val="single" w:sz="4" w:space="0" w:color="auto"/>
              <w:right w:val="single" w:sz="4" w:space="0" w:color="auto"/>
            </w:tcBorders>
          </w:tcPr>
          <w:p w14:paraId="0B779FD7" w14:textId="77777777" w:rsidR="00C44F2A" w:rsidRPr="00C20B08" w:rsidRDefault="00C44F2A" w:rsidP="00C44F2A">
            <w:pPr>
              <w:rPr>
                <w:rFonts w:ascii="Garamond" w:hAnsi="Garamond"/>
              </w:rPr>
            </w:pPr>
            <w:r w:rsidRPr="00C20B08">
              <w:rPr>
                <w:rFonts w:ascii="Garamond" w:hAnsi="Garamond"/>
              </w:rPr>
              <w:t>Le code d’identification d</w:t>
            </w:r>
            <w:r w:rsidR="00A4663E">
              <w:rPr>
                <w:rFonts w:ascii="Garamond" w:hAnsi="Garamond"/>
              </w:rPr>
              <w:t xml:space="preserve">u dérivé </w:t>
            </w:r>
            <w:r w:rsidRPr="00C20B08">
              <w:rPr>
                <w:rFonts w:ascii="Garamond" w:hAnsi="Garamond"/>
              </w:rPr>
              <w:t>peut être :</w:t>
            </w:r>
          </w:p>
          <w:p w14:paraId="073BA764" w14:textId="77777777" w:rsidR="00C44F2A" w:rsidRPr="00C20B08" w:rsidRDefault="00C44F2A" w:rsidP="00C44F2A">
            <w:pPr>
              <w:rPr>
                <w:rFonts w:ascii="Garamond" w:hAnsi="Garamond"/>
              </w:rPr>
            </w:pPr>
            <w:r w:rsidRPr="00C20B08">
              <w:rPr>
                <w:rFonts w:ascii="Garamond" w:hAnsi="Garamond"/>
              </w:rPr>
              <w:t>- Un code ISIN (catégorie ISO 6166)</w:t>
            </w:r>
          </w:p>
          <w:p w14:paraId="16916838" w14:textId="77777777" w:rsidR="00C44F2A" w:rsidRPr="00C20B08" w:rsidRDefault="00C44F2A" w:rsidP="00C44F2A">
            <w:pPr>
              <w:rPr>
                <w:rFonts w:ascii="Garamond" w:hAnsi="Garamond"/>
              </w:rPr>
            </w:pPr>
            <w:r w:rsidRPr="00C20B08">
              <w:rPr>
                <w:rFonts w:ascii="Garamond" w:hAnsi="Garamond"/>
              </w:rPr>
              <w:t>Si ce dernier n’est pas disponible :</w:t>
            </w:r>
          </w:p>
          <w:p w14:paraId="6357EB5B" w14:textId="77777777" w:rsidR="00C44F2A" w:rsidRPr="00C20B08" w:rsidRDefault="00C44F2A" w:rsidP="00C44F2A">
            <w:pPr>
              <w:pStyle w:val="Paragraphedeliste"/>
              <w:numPr>
                <w:ilvl w:val="0"/>
                <w:numId w:val="1"/>
              </w:numPr>
              <w:rPr>
                <w:rFonts w:ascii="Garamond" w:hAnsi="Garamond"/>
              </w:rPr>
            </w:pPr>
            <w:r w:rsidRPr="00C20B08">
              <w:rPr>
                <w:rFonts w:ascii="Garamond" w:hAnsi="Garamond"/>
              </w:rPr>
              <w:t>Autres types de codes reconnus (</w:t>
            </w:r>
            <w:proofErr w:type="spellStart"/>
            <w:r w:rsidRPr="00C20B08">
              <w:rPr>
                <w:rFonts w:ascii="Garamond" w:hAnsi="Garamond"/>
              </w:rPr>
              <w:t>e.g</w:t>
            </w:r>
            <w:proofErr w:type="spellEnd"/>
            <w:r w:rsidRPr="00C20B08">
              <w:rPr>
                <w:rFonts w:ascii="Garamond" w:hAnsi="Garamond"/>
              </w:rPr>
              <w:t xml:space="preserve">.: CUSIP, Bloomberg </w:t>
            </w:r>
            <w:proofErr w:type="spellStart"/>
            <w:r w:rsidRPr="00C20B08">
              <w:rPr>
                <w:rFonts w:ascii="Garamond" w:hAnsi="Garamond"/>
              </w:rPr>
              <w:t>Ticker</w:t>
            </w:r>
            <w:proofErr w:type="spellEnd"/>
            <w:r w:rsidRPr="00C20B08">
              <w:rPr>
                <w:rFonts w:ascii="Garamond" w:hAnsi="Garamond"/>
              </w:rPr>
              <w:t xml:space="preserve">, Reuters RIC) </w:t>
            </w:r>
            <w:proofErr w:type="spellStart"/>
            <w:r w:rsidRPr="00C20B08">
              <w:rPr>
                <w:rFonts w:ascii="Garamond" w:hAnsi="Garamond"/>
              </w:rPr>
              <w:t>cf</w:t>
            </w:r>
            <w:proofErr w:type="spellEnd"/>
            <w:r w:rsidRPr="00C20B08">
              <w:rPr>
                <w:rFonts w:ascii="Garamond" w:hAnsi="Garamond"/>
              </w:rPr>
              <w:t xml:space="preserve"> liste </w:t>
            </w:r>
            <w:r w:rsidR="00F0676E" w:rsidRPr="00C20B08">
              <w:rPr>
                <w:rFonts w:ascii="Garamond" w:hAnsi="Garamond"/>
              </w:rPr>
              <w:t>ci-dessous</w:t>
            </w:r>
          </w:p>
          <w:p w14:paraId="3EECF90C" w14:textId="4D02598C" w:rsidR="00C44F2A" w:rsidRPr="00535385" w:rsidRDefault="00C44F2A" w:rsidP="00C44F2A">
            <w:pPr>
              <w:pStyle w:val="Paragraphedeliste"/>
              <w:numPr>
                <w:ilvl w:val="0"/>
                <w:numId w:val="1"/>
              </w:numPr>
              <w:rPr>
                <w:rFonts w:ascii="Garamond" w:hAnsi="Garamond"/>
              </w:rPr>
            </w:pPr>
            <w:r w:rsidRPr="00C20B08">
              <w:rPr>
                <w:rFonts w:ascii="Garamond" w:hAnsi="Garamond"/>
              </w:rPr>
              <w:t xml:space="preserve">Si les types de codes reconnus ne sont pas applicables, un code unique est attribué </w:t>
            </w:r>
            <w:r w:rsidR="00A4663E">
              <w:rPr>
                <w:rFonts w:ascii="Garamond" w:hAnsi="Garamond"/>
              </w:rPr>
              <w:t>aux dérivés</w:t>
            </w:r>
            <w:r w:rsidRPr="00C20B08">
              <w:rPr>
                <w:rFonts w:ascii="Garamond" w:hAnsi="Garamond"/>
              </w:rPr>
              <w:t xml:space="preserve">. </w:t>
            </w:r>
            <w:r w:rsidR="004F2657" w:rsidRPr="00535385">
              <w:rPr>
                <w:rFonts w:ascii="Garamond" w:hAnsi="Garamond"/>
              </w:rPr>
              <w:t>Cette réfé</w:t>
            </w:r>
            <w:r w:rsidRPr="00535385">
              <w:rPr>
                <w:rFonts w:ascii="Garamond" w:hAnsi="Garamond"/>
              </w:rPr>
              <w:t xml:space="preserve">rence doit être </w:t>
            </w:r>
            <w:r w:rsidR="000B60FD" w:rsidRPr="00535385">
              <w:rPr>
                <w:rFonts w:ascii="Garamond" w:hAnsi="Garamond"/>
              </w:rPr>
              <w:t>conservée pour les remises suivantes.</w:t>
            </w:r>
          </w:p>
          <w:p w14:paraId="241B05EC" w14:textId="6E323B61" w:rsidR="00C44F2A" w:rsidRPr="00C20B08" w:rsidRDefault="000B60FD" w:rsidP="00C44F2A">
            <w:pPr>
              <w:rPr>
                <w:rFonts w:ascii="Garamond" w:hAnsi="Garamond"/>
              </w:rPr>
            </w:pPr>
            <w:r>
              <w:rPr>
                <w:rFonts w:ascii="Garamond" w:hAnsi="Garamond"/>
              </w:rPr>
              <w:t xml:space="preserve">Quand le même code </w:t>
            </w:r>
            <w:r w:rsidR="00A4663E">
              <w:rPr>
                <w:rFonts w:ascii="Garamond" w:hAnsi="Garamond"/>
              </w:rPr>
              <w:t>de dérivé</w:t>
            </w:r>
            <w:r>
              <w:rPr>
                <w:rFonts w:ascii="Garamond" w:hAnsi="Garamond"/>
              </w:rPr>
              <w:t xml:space="preserve"> doit être utilisé pour des </w:t>
            </w:r>
            <w:r w:rsidR="00A4663E">
              <w:rPr>
                <w:rFonts w:ascii="Garamond" w:hAnsi="Garamond"/>
              </w:rPr>
              <w:t>dérivés</w:t>
            </w:r>
            <w:r>
              <w:rPr>
                <w:rFonts w:ascii="Garamond" w:hAnsi="Garamond"/>
              </w:rPr>
              <w:t xml:space="preserve"> émis dans deux (voir plus) devises différentes, </w:t>
            </w:r>
            <w:r w:rsidR="00A4663E">
              <w:rPr>
                <w:rFonts w:ascii="Garamond" w:hAnsi="Garamond"/>
              </w:rPr>
              <w:t>le dérivé</w:t>
            </w:r>
            <w:r w:rsidR="00C44F2A" w:rsidRPr="00C20B08">
              <w:rPr>
                <w:rFonts w:ascii="Garamond" w:hAnsi="Garamond"/>
              </w:rPr>
              <w:t xml:space="preserve"> doit être identifié par </w:t>
            </w:r>
            <w:r w:rsidR="00C44F2A" w:rsidRPr="00C20B08">
              <w:rPr>
                <w:rFonts w:ascii="Garamond" w:hAnsi="Garamond"/>
              </w:rPr>
              <w:lastRenderedPageBreak/>
              <w:t>devise. Le code d’identification d</w:t>
            </w:r>
            <w:r w:rsidR="00F64A50">
              <w:rPr>
                <w:rFonts w:ascii="Garamond" w:hAnsi="Garamond"/>
              </w:rPr>
              <w:t xml:space="preserve">u dérivé </w:t>
            </w:r>
            <w:r w:rsidR="00C44F2A" w:rsidRPr="00C20B08">
              <w:rPr>
                <w:rFonts w:ascii="Garamond" w:hAnsi="Garamond"/>
              </w:rPr>
              <w:t>+ le code alphabétique de la devise</w:t>
            </w:r>
            <w:r w:rsidR="00A4663E">
              <w:rPr>
                <w:rFonts w:ascii="Garamond" w:hAnsi="Garamond"/>
              </w:rPr>
              <w:t xml:space="preserve"> </w:t>
            </w:r>
            <w:r w:rsidR="00C44F2A" w:rsidRPr="00C20B08">
              <w:rPr>
                <w:rFonts w:ascii="Garamond" w:hAnsi="Garamond"/>
              </w:rPr>
              <w:t>(ISO 4217).</w:t>
            </w:r>
          </w:p>
          <w:p w14:paraId="3BBEE9EE" w14:textId="77777777" w:rsidR="00C44F2A" w:rsidRPr="00C20B08" w:rsidRDefault="00C44F2A" w:rsidP="00C44F2A">
            <w:pPr>
              <w:rPr>
                <w:rFonts w:ascii="Garamond" w:hAnsi="Garamond"/>
                <w:color w:val="FF0000"/>
              </w:rPr>
            </w:pPr>
            <w:r w:rsidRPr="00C20B08">
              <w:rPr>
                <w:rFonts w:ascii="Garamond" w:hAnsi="Garamond"/>
              </w:rPr>
              <w:t>Exemple : “</w:t>
            </w:r>
            <w:proofErr w:type="spellStart"/>
            <w:r w:rsidRPr="00C20B08">
              <w:rPr>
                <w:rFonts w:ascii="Garamond" w:hAnsi="Garamond"/>
              </w:rPr>
              <w:t>code+EUR</w:t>
            </w:r>
            <w:proofErr w:type="spellEnd"/>
            <w:r w:rsidRPr="00C20B08">
              <w:rPr>
                <w:rFonts w:ascii="Garamond" w:hAnsi="Garamond"/>
              </w:rPr>
              <w:t>”</w:t>
            </w:r>
          </w:p>
        </w:tc>
      </w:tr>
      <w:tr w:rsidR="000B60FD" w:rsidRPr="00C20B08" w14:paraId="446BAC1E"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5E54A202" w14:textId="77777777" w:rsidR="000B60FD" w:rsidRPr="00C20B08" w:rsidRDefault="000B60FD">
            <w:pPr>
              <w:rPr>
                <w:rFonts w:ascii="Garamond" w:hAnsi="Garamond"/>
              </w:rPr>
            </w:pPr>
            <w:r w:rsidRPr="000B60FD">
              <w:rPr>
                <w:rFonts w:ascii="Garamond" w:hAnsi="Garamond"/>
              </w:rPr>
              <w:lastRenderedPageBreak/>
              <w:t>T</w:t>
            </w:r>
            <w:r w:rsidR="00A4663E">
              <w:rPr>
                <w:rFonts w:ascii="Garamond" w:hAnsi="Garamond"/>
              </w:rPr>
              <w:t>ype du code d’identification du dérivé</w:t>
            </w:r>
          </w:p>
        </w:tc>
        <w:tc>
          <w:tcPr>
            <w:tcW w:w="947" w:type="dxa"/>
            <w:tcBorders>
              <w:top w:val="nil"/>
              <w:left w:val="single" w:sz="4" w:space="0" w:color="auto"/>
              <w:bottom w:val="single" w:sz="4" w:space="0" w:color="auto"/>
              <w:right w:val="single" w:sz="4" w:space="0" w:color="auto"/>
            </w:tcBorders>
            <w:shd w:val="clear" w:color="auto" w:fill="auto"/>
            <w:vAlign w:val="center"/>
          </w:tcPr>
          <w:p w14:paraId="6FD81B8A" w14:textId="77777777" w:rsidR="000B60FD" w:rsidRPr="00C20B08" w:rsidRDefault="000B60FD" w:rsidP="00C44F2A">
            <w:pPr>
              <w:jc w:val="center"/>
              <w:rPr>
                <w:rFonts w:ascii="Garamond" w:hAnsi="Garamond"/>
              </w:rPr>
            </w:pPr>
            <w:r>
              <w:rPr>
                <w:rFonts w:ascii="Garamond" w:hAnsi="Garamond"/>
              </w:rPr>
              <w:t>C0020</w:t>
            </w:r>
          </w:p>
        </w:tc>
        <w:tc>
          <w:tcPr>
            <w:tcW w:w="6352" w:type="dxa"/>
            <w:tcBorders>
              <w:top w:val="nil"/>
              <w:left w:val="single" w:sz="4" w:space="0" w:color="auto"/>
              <w:bottom w:val="single" w:sz="4" w:space="0" w:color="auto"/>
              <w:right w:val="single" w:sz="4" w:space="0" w:color="auto"/>
            </w:tcBorders>
          </w:tcPr>
          <w:p w14:paraId="50A55DCA" w14:textId="77777777" w:rsidR="000B60FD" w:rsidRPr="00C20B08" w:rsidRDefault="000B60FD" w:rsidP="000B60FD">
            <w:pPr>
              <w:rPr>
                <w:rFonts w:ascii="Garamond" w:hAnsi="Garamond"/>
              </w:rPr>
            </w:pPr>
            <w:r w:rsidRPr="00C20B08">
              <w:rPr>
                <w:rFonts w:ascii="Garamond" w:hAnsi="Garamond"/>
              </w:rPr>
              <w:t xml:space="preserve">Les principaux types de codes sont : </w:t>
            </w:r>
          </w:p>
          <w:p w14:paraId="730BF482" w14:textId="77777777" w:rsidR="000B60FD" w:rsidRPr="00C20B08" w:rsidRDefault="000B60FD" w:rsidP="00535385">
            <w:pPr>
              <w:spacing w:after="0"/>
              <w:rPr>
                <w:rFonts w:ascii="Garamond" w:hAnsi="Garamond"/>
                <w:lang w:val="en-US"/>
              </w:rPr>
            </w:pPr>
            <w:r w:rsidRPr="00C20B08">
              <w:rPr>
                <w:rFonts w:ascii="Garamond" w:hAnsi="Garamond"/>
                <w:lang w:val="en-US"/>
              </w:rPr>
              <w:t>1 - ISO 6166 = ISIN code</w:t>
            </w:r>
          </w:p>
          <w:p w14:paraId="2CB00F2C" w14:textId="77777777" w:rsidR="000B60FD" w:rsidRPr="00C20B08" w:rsidRDefault="000B60FD" w:rsidP="00535385">
            <w:pPr>
              <w:spacing w:after="0"/>
              <w:rPr>
                <w:rFonts w:ascii="Garamond" w:hAnsi="Garamond"/>
                <w:lang w:val="en-US"/>
              </w:rPr>
            </w:pPr>
            <w:r w:rsidRPr="00C20B08">
              <w:rPr>
                <w:rFonts w:ascii="Garamond" w:hAnsi="Garamond"/>
                <w:lang w:val="en-US"/>
              </w:rPr>
              <w:t>2 - CUSIP (The Committee on Uniform Securities Identification Procedures) (Canada)</w:t>
            </w:r>
          </w:p>
          <w:p w14:paraId="7942CCD8" w14:textId="77777777" w:rsidR="000B60FD" w:rsidRPr="00C20B08" w:rsidRDefault="000B60FD" w:rsidP="00535385">
            <w:pPr>
              <w:spacing w:after="0"/>
              <w:rPr>
                <w:rFonts w:ascii="Garamond" w:hAnsi="Garamond"/>
                <w:lang w:val="en-US"/>
              </w:rPr>
            </w:pPr>
            <w:r w:rsidRPr="00C20B08">
              <w:rPr>
                <w:rFonts w:ascii="Garamond" w:hAnsi="Garamond"/>
                <w:lang w:val="en-US"/>
              </w:rPr>
              <w:t>3 - SEDOL (Stock Exchange Daily Official List) (Code du London Stock Exchange)</w:t>
            </w:r>
          </w:p>
          <w:p w14:paraId="12B96DB6" w14:textId="77777777" w:rsidR="000B60FD" w:rsidRPr="00C20B08" w:rsidRDefault="000B60FD" w:rsidP="00535385">
            <w:pPr>
              <w:spacing w:after="0"/>
              <w:rPr>
                <w:rFonts w:ascii="Garamond" w:hAnsi="Garamond"/>
              </w:rPr>
            </w:pPr>
            <w:r w:rsidRPr="00C20B08">
              <w:rPr>
                <w:rFonts w:ascii="Garamond" w:hAnsi="Garamond"/>
              </w:rPr>
              <w:t>4 – WKN (</w:t>
            </w:r>
            <w:proofErr w:type="spellStart"/>
            <w:r w:rsidRPr="00C20B08">
              <w:rPr>
                <w:rFonts w:ascii="Garamond" w:hAnsi="Garamond"/>
              </w:rPr>
              <w:t>Wertpapier</w:t>
            </w:r>
            <w:proofErr w:type="spellEnd"/>
            <w:r w:rsidRPr="00C20B08">
              <w:rPr>
                <w:rFonts w:ascii="Garamond" w:hAnsi="Garamond"/>
              </w:rPr>
              <w:t xml:space="preserve"> Kenn-</w:t>
            </w:r>
            <w:proofErr w:type="spellStart"/>
            <w:r w:rsidRPr="00C20B08">
              <w:rPr>
                <w:rFonts w:ascii="Garamond" w:hAnsi="Garamond"/>
              </w:rPr>
              <w:t>Nummer</w:t>
            </w:r>
            <w:proofErr w:type="spellEnd"/>
            <w:r w:rsidRPr="00C20B08">
              <w:rPr>
                <w:rFonts w:ascii="Garamond" w:hAnsi="Garamond"/>
              </w:rPr>
              <w:t>) (Code allemand)</w:t>
            </w:r>
          </w:p>
          <w:p w14:paraId="6EB2A0AD" w14:textId="77777777" w:rsidR="000B60FD" w:rsidRPr="00C20B08" w:rsidRDefault="000B60FD" w:rsidP="00535385">
            <w:pPr>
              <w:spacing w:after="0"/>
              <w:rPr>
                <w:rFonts w:ascii="Garamond" w:hAnsi="Garamond"/>
                <w:lang w:val="en-US"/>
              </w:rPr>
            </w:pPr>
            <w:r w:rsidRPr="00C20B08">
              <w:rPr>
                <w:rFonts w:ascii="Garamond" w:hAnsi="Garamond"/>
                <w:lang w:val="en-US"/>
              </w:rPr>
              <w:t>5 - Bloomberg Ticker (Code de Bloomberg)</w:t>
            </w:r>
          </w:p>
          <w:p w14:paraId="55CB0A94" w14:textId="77777777" w:rsidR="000B60FD" w:rsidRPr="00C20B08" w:rsidRDefault="000B60FD" w:rsidP="00535385">
            <w:pPr>
              <w:spacing w:after="0"/>
              <w:rPr>
                <w:rFonts w:ascii="Garamond" w:hAnsi="Garamond"/>
                <w:lang w:val="en-US"/>
              </w:rPr>
            </w:pPr>
            <w:r w:rsidRPr="00C20B08">
              <w:rPr>
                <w:rFonts w:ascii="Garamond" w:hAnsi="Garamond"/>
                <w:lang w:val="en-US"/>
              </w:rPr>
              <w:t>6 - BBGID (The Bloomberg Global ID)</w:t>
            </w:r>
          </w:p>
          <w:p w14:paraId="6961A1CF" w14:textId="77777777" w:rsidR="000B60FD" w:rsidRPr="00C20B08" w:rsidRDefault="000B60FD" w:rsidP="00535385">
            <w:pPr>
              <w:spacing w:after="0"/>
              <w:rPr>
                <w:rFonts w:ascii="Garamond" w:hAnsi="Garamond"/>
              </w:rPr>
            </w:pPr>
            <w:r w:rsidRPr="00C20B08">
              <w:rPr>
                <w:rFonts w:ascii="Garamond" w:hAnsi="Garamond"/>
              </w:rPr>
              <w:t>7 - Reuters RIC (Reuters instrument code)</w:t>
            </w:r>
          </w:p>
          <w:p w14:paraId="61897E6E" w14:textId="77777777" w:rsidR="000B60FD" w:rsidRPr="00C20B08" w:rsidRDefault="000B60FD" w:rsidP="00535385">
            <w:pPr>
              <w:spacing w:after="0"/>
              <w:rPr>
                <w:rFonts w:ascii="Garamond" w:hAnsi="Garamond"/>
              </w:rPr>
            </w:pPr>
            <w:r w:rsidRPr="00C20B08">
              <w:rPr>
                <w:rFonts w:ascii="Garamond" w:hAnsi="Garamond"/>
              </w:rPr>
              <w:t>8 – FIGI (Financial Instrument Global Identifier)</w:t>
            </w:r>
          </w:p>
          <w:p w14:paraId="72C421F1" w14:textId="77777777" w:rsidR="000B60FD" w:rsidRPr="00C20B08" w:rsidRDefault="000B60FD" w:rsidP="00535385">
            <w:pPr>
              <w:spacing w:after="0"/>
              <w:rPr>
                <w:rFonts w:ascii="Garamond" w:hAnsi="Garamond"/>
              </w:rPr>
            </w:pPr>
            <w:r w:rsidRPr="00C20B08">
              <w:rPr>
                <w:rFonts w:ascii="Garamond" w:hAnsi="Garamond"/>
              </w:rPr>
              <w:t xml:space="preserve">9 – Autres codes fournis par les membres de </w:t>
            </w:r>
            <w:proofErr w:type="gramStart"/>
            <w:r w:rsidRPr="00C20B08">
              <w:rPr>
                <w:rFonts w:ascii="Garamond" w:hAnsi="Garamond"/>
              </w:rPr>
              <w:t>l’ »</w:t>
            </w:r>
            <w:proofErr w:type="gramEnd"/>
            <w:r w:rsidRPr="00C20B08">
              <w:rPr>
                <w:rFonts w:ascii="Garamond" w:hAnsi="Garamond"/>
              </w:rPr>
              <w:t xml:space="preserve">Association of National </w:t>
            </w:r>
            <w:proofErr w:type="spellStart"/>
            <w:r w:rsidRPr="00C20B08">
              <w:rPr>
                <w:rFonts w:ascii="Garamond" w:hAnsi="Garamond"/>
              </w:rPr>
              <w:t>Numbering</w:t>
            </w:r>
            <w:proofErr w:type="spellEnd"/>
            <w:r w:rsidRPr="00C20B08">
              <w:rPr>
                <w:rFonts w:ascii="Garamond" w:hAnsi="Garamond"/>
              </w:rPr>
              <w:t xml:space="preserve"> </w:t>
            </w:r>
            <w:proofErr w:type="spellStart"/>
            <w:r w:rsidRPr="00C20B08">
              <w:rPr>
                <w:rFonts w:ascii="Garamond" w:hAnsi="Garamond"/>
              </w:rPr>
              <w:t>Agencies</w:t>
            </w:r>
            <w:proofErr w:type="spellEnd"/>
            <w:r w:rsidRPr="00C20B08">
              <w:rPr>
                <w:rFonts w:ascii="Garamond" w:hAnsi="Garamond"/>
              </w:rPr>
              <w:t> »</w:t>
            </w:r>
          </w:p>
          <w:p w14:paraId="69570E8A" w14:textId="77777777" w:rsidR="000B60FD" w:rsidRDefault="000B60FD" w:rsidP="00535385">
            <w:pPr>
              <w:spacing w:after="0"/>
              <w:rPr>
                <w:rFonts w:ascii="Garamond" w:hAnsi="Garamond"/>
              </w:rPr>
            </w:pPr>
            <w:r w:rsidRPr="00B67BF6">
              <w:rPr>
                <w:rFonts w:ascii="Garamond" w:hAnsi="Garamond"/>
              </w:rPr>
              <w:t>99 – Code attribué</w:t>
            </w:r>
          </w:p>
          <w:p w14:paraId="4BD5A4DD" w14:textId="77777777" w:rsidR="00EB53B3" w:rsidRPr="00B67BF6" w:rsidRDefault="00EB53B3" w:rsidP="00535385">
            <w:pPr>
              <w:spacing w:after="0"/>
              <w:rPr>
                <w:rFonts w:ascii="Garamond" w:hAnsi="Garamond"/>
              </w:rPr>
            </w:pPr>
          </w:p>
          <w:p w14:paraId="5E229F3B" w14:textId="181CEB2E" w:rsidR="000B60FD" w:rsidRDefault="000B60FD" w:rsidP="000B60FD">
            <w:pPr>
              <w:rPr>
                <w:rFonts w:ascii="Garamond" w:hAnsi="Garamond"/>
              </w:rPr>
            </w:pPr>
            <w:r>
              <w:rPr>
                <w:rFonts w:ascii="Garamond" w:hAnsi="Garamond"/>
              </w:rPr>
              <w:t xml:space="preserve">Quand le même code </w:t>
            </w:r>
            <w:r w:rsidR="001A2327">
              <w:rPr>
                <w:rFonts w:ascii="Garamond" w:hAnsi="Garamond"/>
              </w:rPr>
              <w:t>du dérivé</w:t>
            </w:r>
            <w:r>
              <w:rPr>
                <w:rFonts w:ascii="Garamond" w:hAnsi="Garamond"/>
              </w:rPr>
              <w:t xml:space="preserve"> doit être utilisé pour des </w:t>
            </w:r>
            <w:r w:rsidR="001A2327">
              <w:rPr>
                <w:rFonts w:ascii="Garamond" w:hAnsi="Garamond"/>
              </w:rPr>
              <w:t>dérivés</w:t>
            </w:r>
            <w:r>
              <w:rPr>
                <w:rFonts w:ascii="Garamond" w:hAnsi="Garamond"/>
              </w:rPr>
              <w:t xml:space="preserve"> émis dans deux (voir plus) devises différentes, </w:t>
            </w:r>
            <w:r w:rsidR="00A1202E">
              <w:rPr>
                <w:rFonts w:ascii="Garamond" w:hAnsi="Garamond"/>
              </w:rPr>
              <w:t>le dérivé</w:t>
            </w:r>
            <w:r w:rsidRPr="00C20B08">
              <w:rPr>
                <w:rFonts w:ascii="Garamond" w:hAnsi="Garamond"/>
              </w:rPr>
              <w:t xml:space="preserve"> doit être identifié par devi</w:t>
            </w:r>
            <w:r w:rsidR="00A1202E">
              <w:rPr>
                <w:rFonts w:ascii="Garamond" w:hAnsi="Garamond"/>
              </w:rPr>
              <w:t xml:space="preserve">se. Le code d’identification du dérivé </w:t>
            </w:r>
            <w:r w:rsidRPr="00C20B08">
              <w:rPr>
                <w:rFonts w:ascii="Garamond" w:hAnsi="Garamond"/>
              </w:rPr>
              <w:t>+ le code alphabétique de la devise</w:t>
            </w:r>
            <w:r w:rsidR="00D94051">
              <w:rPr>
                <w:rFonts w:ascii="Garamond" w:hAnsi="Garamond"/>
              </w:rPr>
              <w:t xml:space="preserve"> </w:t>
            </w:r>
            <w:r w:rsidRPr="00C20B08">
              <w:rPr>
                <w:rFonts w:ascii="Garamond" w:hAnsi="Garamond"/>
              </w:rPr>
              <w:t>(ISO 4217).</w:t>
            </w:r>
            <w:r>
              <w:rPr>
                <w:rFonts w:ascii="Garamond" w:hAnsi="Garamond"/>
              </w:rPr>
              <w:t xml:space="preserve"> Ceci comme dans l’exemple suivant ‘</w:t>
            </w:r>
            <w:proofErr w:type="spellStart"/>
            <w:r>
              <w:rPr>
                <w:rFonts w:ascii="Garamond" w:hAnsi="Garamond"/>
              </w:rPr>
              <w:t>code+EUR</w:t>
            </w:r>
            <w:proofErr w:type="spellEnd"/>
            <w:r>
              <w:rPr>
                <w:rFonts w:ascii="Garamond" w:hAnsi="Garamond"/>
              </w:rPr>
              <w:t>’.</w:t>
            </w:r>
          </w:p>
          <w:p w14:paraId="71437851" w14:textId="77777777" w:rsidR="000B60FD" w:rsidRPr="00C20B08" w:rsidRDefault="000B60FD">
            <w:pPr>
              <w:rPr>
                <w:rFonts w:ascii="Garamond" w:hAnsi="Garamond"/>
              </w:rPr>
            </w:pPr>
            <w:r>
              <w:rPr>
                <w:rFonts w:ascii="Garamond" w:hAnsi="Garamond"/>
              </w:rPr>
              <w:t xml:space="preserve">Dans ce cas,  le type de code </w:t>
            </w:r>
            <w:r w:rsidR="00A1202E">
              <w:rPr>
                <w:rFonts w:ascii="Garamond" w:hAnsi="Garamond"/>
              </w:rPr>
              <w:t xml:space="preserve">d’identification du dérivé </w:t>
            </w:r>
            <w:r>
              <w:rPr>
                <w:rFonts w:ascii="Garamond" w:hAnsi="Garamond"/>
              </w:rPr>
              <w:t xml:space="preserve">est </w:t>
            </w:r>
            <w:r w:rsidRPr="00C20B08">
              <w:rPr>
                <w:rFonts w:ascii="Garamond" w:hAnsi="Garamond"/>
              </w:rPr>
              <w:t>l’option 9</w:t>
            </w:r>
            <w:r>
              <w:rPr>
                <w:rFonts w:ascii="Garamond" w:hAnsi="Garamond"/>
              </w:rPr>
              <w:t>9 (Code attribué)</w:t>
            </w:r>
            <w:r w:rsidR="00C0390B">
              <w:rPr>
                <w:rFonts w:ascii="Garamond" w:hAnsi="Garamond"/>
              </w:rPr>
              <w:t xml:space="preserve"> avec option du code </w:t>
            </w:r>
            <w:r w:rsidR="00A1202E">
              <w:rPr>
                <w:rFonts w:ascii="Garamond" w:hAnsi="Garamond"/>
              </w:rPr>
              <w:t>du dérivé</w:t>
            </w:r>
            <w:r w:rsidRPr="00C20B08">
              <w:rPr>
                <w:rFonts w:ascii="Garamond" w:hAnsi="Garamond"/>
              </w:rPr>
              <w:t>,</w:t>
            </w:r>
            <w:r w:rsidR="00C0390B">
              <w:rPr>
                <w:rFonts w:ascii="Garamond" w:hAnsi="Garamond"/>
              </w:rPr>
              <w:t xml:space="preserve"> comme dans l’exemple suivant avec un </w:t>
            </w:r>
            <w:r w:rsidR="00A1202E">
              <w:rPr>
                <w:rFonts w:ascii="Garamond" w:hAnsi="Garamond"/>
              </w:rPr>
              <w:t>dérivé</w:t>
            </w:r>
            <w:r w:rsidR="00C0390B">
              <w:rPr>
                <w:rFonts w:ascii="Garamond" w:hAnsi="Garamond"/>
              </w:rPr>
              <w:t xml:space="preserve"> identifié selon son code ISIN</w:t>
            </w:r>
            <w:r w:rsidRPr="00C20B08">
              <w:rPr>
                <w:rFonts w:ascii="Garamond" w:hAnsi="Garamond"/>
              </w:rPr>
              <w:t xml:space="preserve"> Ex :  ISIN </w:t>
            </w:r>
            <w:proofErr w:type="spellStart"/>
            <w:r w:rsidRPr="00C20B08">
              <w:rPr>
                <w:rFonts w:ascii="Garamond" w:hAnsi="Garamond"/>
              </w:rPr>
              <w:t>code+currency</w:t>
            </w:r>
            <w:proofErr w:type="spellEnd"/>
            <w:r w:rsidRPr="00C20B08">
              <w:rPr>
                <w:rFonts w:ascii="Garamond" w:hAnsi="Garamond"/>
              </w:rPr>
              <w:t>: “9</w:t>
            </w:r>
            <w:r w:rsidR="00C0390B">
              <w:rPr>
                <w:rFonts w:ascii="Garamond" w:hAnsi="Garamond"/>
              </w:rPr>
              <w:t>9</w:t>
            </w:r>
            <w:r w:rsidRPr="00C20B08">
              <w:rPr>
                <w:rFonts w:ascii="Garamond" w:hAnsi="Garamond"/>
              </w:rPr>
              <w:t>/1”.</w:t>
            </w:r>
          </w:p>
        </w:tc>
      </w:tr>
      <w:tr w:rsidR="00B61ED5" w:rsidRPr="00C20B08" w14:paraId="2B49012F" w14:textId="77777777" w:rsidTr="0085196F">
        <w:trPr>
          <w:trHeight w:val="300"/>
        </w:trPr>
        <w:tc>
          <w:tcPr>
            <w:tcW w:w="1858" w:type="dxa"/>
            <w:tcBorders>
              <w:top w:val="nil"/>
              <w:left w:val="single" w:sz="4" w:space="0" w:color="auto"/>
              <w:bottom w:val="single" w:sz="4" w:space="0" w:color="auto"/>
              <w:right w:val="single" w:sz="4" w:space="0" w:color="auto"/>
            </w:tcBorders>
            <w:shd w:val="clear" w:color="auto" w:fill="auto"/>
          </w:tcPr>
          <w:p w14:paraId="0B8FD18E" w14:textId="012695A8" w:rsidR="00B61ED5" w:rsidRPr="000B60FD" w:rsidRDefault="00B61ED5" w:rsidP="00B61ED5">
            <w:pPr>
              <w:rPr>
                <w:rFonts w:ascii="Garamond" w:hAnsi="Garamond"/>
              </w:rPr>
            </w:pPr>
            <w:r w:rsidRPr="00B450F2">
              <w:rPr>
                <w:rFonts w:ascii="Times New Roman" w:hAnsi="Times New Roman" w:cs="Times New Roman"/>
                <w:sz w:val="20"/>
                <w:szCs w:val="20"/>
              </w:rPr>
              <w:t>Numéro d’enregistrement du PEPP</w:t>
            </w:r>
          </w:p>
        </w:tc>
        <w:tc>
          <w:tcPr>
            <w:tcW w:w="947" w:type="dxa"/>
            <w:tcBorders>
              <w:top w:val="nil"/>
              <w:left w:val="single" w:sz="4" w:space="0" w:color="auto"/>
              <w:bottom w:val="single" w:sz="4" w:space="0" w:color="auto"/>
              <w:right w:val="single" w:sz="4" w:space="0" w:color="auto"/>
            </w:tcBorders>
            <w:shd w:val="clear" w:color="auto" w:fill="auto"/>
          </w:tcPr>
          <w:p w14:paraId="2766DD46" w14:textId="4047F43F" w:rsidR="00B61ED5" w:rsidRDefault="00B61ED5" w:rsidP="00B61ED5">
            <w:pPr>
              <w:jc w:val="center"/>
              <w:rPr>
                <w:rFonts w:ascii="Garamond" w:hAnsi="Garamond"/>
              </w:rPr>
            </w:pPr>
            <w:r w:rsidRPr="00B450F2">
              <w:rPr>
                <w:rFonts w:ascii="Times New Roman" w:hAnsi="Times New Roman" w:cs="Times New Roman"/>
                <w:sz w:val="20"/>
                <w:szCs w:val="20"/>
              </w:rPr>
              <w:t>C0015</w:t>
            </w:r>
          </w:p>
        </w:tc>
        <w:tc>
          <w:tcPr>
            <w:tcW w:w="6352" w:type="dxa"/>
            <w:tcBorders>
              <w:top w:val="nil"/>
              <w:left w:val="single" w:sz="4" w:space="0" w:color="auto"/>
              <w:bottom w:val="single" w:sz="4" w:space="0" w:color="auto"/>
              <w:right w:val="single" w:sz="4" w:space="0" w:color="auto"/>
            </w:tcBorders>
          </w:tcPr>
          <w:p w14:paraId="3043921C" w14:textId="2371E0CB" w:rsidR="00B61ED5" w:rsidRPr="00C20B08" w:rsidRDefault="00B61ED5" w:rsidP="00B61ED5">
            <w:pPr>
              <w:rPr>
                <w:rFonts w:ascii="Garamond" w:hAnsi="Garamond"/>
              </w:rPr>
            </w:pPr>
            <w:r w:rsidRPr="009926BE">
              <w:rPr>
                <w:sz w:val="20"/>
                <w:szCs w:val="20"/>
              </w:rPr>
              <w:t>Numéro d’enregistrement du PEPP attribué par l’AEAPP.</w:t>
            </w:r>
          </w:p>
        </w:tc>
      </w:tr>
      <w:tr w:rsidR="00B61ED5" w:rsidRPr="00C20B08" w14:paraId="68A8DCBC" w14:textId="77777777" w:rsidTr="0085196F">
        <w:trPr>
          <w:trHeight w:val="300"/>
        </w:trPr>
        <w:tc>
          <w:tcPr>
            <w:tcW w:w="1858" w:type="dxa"/>
            <w:tcBorders>
              <w:top w:val="nil"/>
              <w:left w:val="single" w:sz="4" w:space="0" w:color="auto"/>
              <w:bottom w:val="single" w:sz="4" w:space="0" w:color="auto"/>
              <w:right w:val="single" w:sz="4" w:space="0" w:color="auto"/>
            </w:tcBorders>
            <w:shd w:val="clear" w:color="auto" w:fill="auto"/>
          </w:tcPr>
          <w:p w14:paraId="62C98AC2" w14:textId="77777777" w:rsidR="00B61ED5" w:rsidRPr="0034125B" w:rsidRDefault="00B61ED5" w:rsidP="00B61ED5">
            <w:pPr>
              <w:rPr>
                <w:rFonts w:ascii="Times New Roman" w:hAnsi="Times New Roman" w:cs="Times New Roman"/>
                <w:sz w:val="20"/>
                <w:szCs w:val="20"/>
              </w:rPr>
            </w:pPr>
            <w:r w:rsidRPr="009926BE">
              <w:rPr>
                <w:rFonts w:ascii="Times New Roman" w:hAnsi="Times New Roman" w:cs="Times New Roman"/>
                <w:sz w:val="20"/>
                <w:szCs w:val="20"/>
              </w:rPr>
              <w:t>PEPP de base/</w:t>
            </w:r>
          </w:p>
          <w:p w14:paraId="69FA5890" w14:textId="68DD2B76" w:rsidR="00B61ED5" w:rsidRPr="000B60FD" w:rsidRDefault="00B61ED5" w:rsidP="00B61ED5">
            <w:pPr>
              <w:rPr>
                <w:rFonts w:ascii="Garamond" w:hAnsi="Garamond"/>
              </w:rPr>
            </w:pPr>
            <w:r w:rsidRPr="009926BE">
              <w:rPr>
                <w:rFonts w:ascii="Times New Roman" w:hAnsi="Times New Roman" w:cs="Times New Roman"/>
                <w:sz w:val="20"/>
                <w:szCs w:val="20"/>
              </w:rPr>
              <w:t>Autres options d’investissement</w:t>
            </w:r>
          </w:p>
        </w:tc>
        <w:tc>
          <w:tcPr>
            <w:tcW w:w="947" w:type="dxa"/>
            <w:tcBorders>
              <w:top w:val="nil"/>
              <w:left w:val="single" w:sz="4" w:space="0" w:color="auto"/>
              <w:bottom w:val="single" w:sz="4" w:space="0" w:color="auto"/>
              <w:right w:val="single" w:sz="4" w:space="0" w:color="auto"/>
            </w:tcBorders>
            <w:shd w:val="clear" w:color="auto" w:fill="auto"/>
          </w:tcPr>
          <w:p w14:paraId="44247510" w14:textId="07D938CB" w:rsidR="00B61ED5" w:rsidRDefault="00B61ED5" w:rsidP="00B61ED5">
            <w:pPr>
              <w:jc w:val="center"/>
              <w:rPr>
                <w:rFonts w:ascii="Garamond" w:hAnsi="Garamond"/>
              </w:rPr>
            </w:pPr>
            <w:r w:rsidRPr="00B450F2">
              <w:rPr>
                <w:rFonts w:ascii="Times New Roman" w:hAnsi="Times New Roman" w:cs="Times New Roman"/>
                <w:sz w:val="20"/>
                <w:szCs w:val="20"/>
              </w:rPr>
              <w:t>C0016</w:t>
            </w:r>
          </w:p>
        </w:tc>
        <w:tc>
          <w:tcPr>
            <w:tcW w:w="6352" w:type="dxa"/>
            <w:tcBorders>
              <w:top w:val="nil"/>
              <w:left w:val="single" w:sz="4" w:space="0" w:color="auto"/>
              <w:bottom w:val="single" w:sz="4" w:space="0" w:color="auto"/>
              <w:right w:val="single" w:sz="4" w:space="0" w:color="auto"/>
            </w:tcBorders>
          </w:tcPr>
          <w:p w14:paraId="33647EF1" w14:textId="77777777" w:rsidR="00B61ED5" w:rsidRPr="0017165B" w:rsidRDefault="00B61ED5" w:rsidP="00B61ED5">
            <w:pPr>
              <w:pStyle w:val="Sansinterligne"/>
              <w:rPr>
                <w:rFonts w:ascii="Garamond" w:hAnsi="Garamond"/>
              </w:rPr>
            </w:pPr>
            <w:r w:rsidRPr="0017165B">
              <w:rPr>
                <w:rFonts w:ascii="Garamond" w:hAnsi="Garamond"/>
              </w:rPr>
              <w:t>Type d’option d’investissement dans le cadre du PEPP. Ce champ repose sur une distinction entre le PEPP de base et les autres options d’investissement. L’option 3 intitulée</w:t>
            </w:r>
            <w:r w:rsidRPr="00A153B2">
              <w:rPr>
                <w:rFonts w:ascii="Garamond" w:hAnsi="Garamond"/>
              </w:rPr>
              <w:t xml:space="preserve"> « Actifs</w:t>
            </w:r>
            <w:r w:rsidRPr="0017165B">
              <w:rPr>
                <w:rFonts w:ascii="Garamond" w:hAnsi="Garamond"/>
              </w:rPr>
              <w:t xml:space="preserve"> communs du </w:t>
            </w:r>
            <w:proofErr w:type="gramStart"/>
            <w:r w:rsidRPr="0017165B">
              <w:rPr>
                <w:rFonts w:ascii="Garamond" w:hAnsi="Garamond"/>
              </w:rPr>
              <w:t>PEPP»</w:t>
            </w:r>
            <w:proofErr w:type="gramEnd"/>
            <w:r w:rsidRPr="0017165B">
              <w:rPr>
                <w:rFonts w:ascii="Garamond" w:hAnsi="Garamond"/>
              </w:rPr>
              <w:t xml:space="preserve"> est à retenir si toutes les options d’investissement du PEPP partagent le même pool d’actifs.</w:t>
            </w:r>
          </w:p>
          <w:p w14:paraId="3166AA0F" w14:textId="77777777" w:rsidR="00B61ED5" w:rsidRPr="0017165B" w:rsidRDefault="00B61ED5" w:rsidP="00B61ED5">
            <w:pPr>
              <w:pStyle w:val="Sansinterligne"/>
              <w:rPr>
                <w:rFonts w:ascii="Garamond" w:hAnsi="Garamond"/>
              </w:rPr>
            </w:pPr>
          </w:p>
          <w:p w14:paraId="4A96D85E" w14:textId="77777777" w:rsidR="00B61ED5" w:rsidRPr="0017165B" w:rsidRDefault="00B61ED5" w:rsidP="00B61ED5">
            <w:pPr>
              <w:pStyle w:val="Sansinterligne"/>
              <w:rPr>
                <w:rFonts w:ascii="Garamond" w:hAnsi="Garamond"/>
              </w:rPr>
            </w:pPr>
            <w:r w:rsidRPr="0017165B">
              <w:rPr>
                <w:rFonts w:ascii="Garamond" w:hAnsi="Garamond"/>
              </w:rPr>
              <w:t>Choisir l’une des options suivantes:</w:t>
            </w:r>
          </w:p>
          <w:p w14:paraId="17F75C9A" w14:textId="77777777" w:rsidR="00B61ED5" w:rsidRPr="0017165B" w:rsidRDefault="00B61ED5" w:rsidP="00B61ED5">
            <w:pPr>
              <w:pStyle w:val="Sansinterligne"/>
              <w:rPr>
                <w:rFonts w:ascii="Garamond" w:hAnsi="Garamond"/>
              </w:rPr>
            </w:pPr>
          </w:p>
          <w:p w14:paraId="07A83A3E" w14:textId="77777777" w:rsidR="00B61ED5" w:rsidRPr="0017165B" w:rsidRDefault="00B61ED5" w:rsidP="00B61ED5">
            <w:pPr>
              <w:pStyle w:val="Sansinterligne"/>
              <w:rPr>
                <w:rFonts w:ascii="Garamond" w:hAnsi="Garamond"/>
              </w:rPr>
            </w:pPr>
            <w:r w:rsidRPr="0017165B">
              <w:rPr>
                <w:rFonts w:ascii="Garamond" w:hAnsi="Garamond"/>
              </w:rPr>
              <w:t>1 - PEPP de base</w:t>
            </w:r>
          </w:p>
          <w:p w14:paraId="5BCF1C23" w14:textId="77777777" w:rsidR="00B61ED5" w:rsidRPr="0017165B" w:rsidRDefault="00B61ED5" w:rsidP="00B61ED5">
            <w:pPr>
              <w:pStyle w:val="Sansinterligne"/>
              <w:rPr>
                <w:rFonts w:ascii="Garamond" w:hAnsi="Garamond"/>
              </w:rPr>
            </w:pPr>
            <w:r w:rsidRPr="0017165B">
              <w:rPr>
                <w:rFonts w:ascii="Garamond" w:hAnsi="Garamond"/>
              </w:rPr>
              <w:t>2 - Autres options d’investissement</w:t>
            </w:r>
          </w:p>
          <w:p w14:paraId="45ABBE1B" w14:textId="33774CB9" w:rsidR="00B61ED5" w:rsidRPr="00C20B08" w:rsidRDefault="00B61ED5" w:rsidP="00B61ED5">
            <w:pPr>
              <w:rPr>
                <w:rFonts w:ascii="Garamond" w:hAnsi="Garamond"/>
              </w:rPr>
            </w:pPr>
            <w:r w:rsidRPr="0017165B">
              <w:rPr>
                <w:rFonts w:ascii="Garamond" w:hAnsi="Garamond"/>
              </w:rPr>
              <w:t>3 - Actifs communs du PEPP</w:t>
            </w:r>
          </w:p>
        </w:tc>
      </w:tr>
      <w:tr w:rsidR="00C44F2A" w:rsidRPr="00C20B08" w14:paraId="73C35256"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71B6DBEE" w14:textId="77777777" w:rsidR="00C44F2A" w:rsidRPr="00C20B08" w:rsidRDefault="00B515DF" w:rsidP="00C44F2A">
            <w:pPr>
              <w:rPr>
                <w:rFonts w:ascii="Garamond" w:hAnsi="Garamond"/>
              </w:rPr>
            </w:pPr>
            <w:r w:rsidRPr="00B515DF">
              <w:rPr>
                <w:rFonts w:ascii="Garamond" w:hAnsi="Garamond"/>
              </w:rPr>
              <w:t>Produit dérivé lié à un type de portefeuille spécifique </w:t>
            </w:r>
          </w:p>
        </w:tc>
        <w:tc>
          <w:tcPr>
            <w:tcW w:w="947" w:type="dxa"/>
            <w:tcBorders>
              <w:top w:val="nil"/>
              <w:left w:val="single" w:sz="4" w:space="0" w:color="auto"/>
              <w:bottom w:val="single" w:sz="4" w:space="0" w:color="auto"/>
              <w:right w:val="single" w:sz="4" w:space="0" w:color="auto"/>
            </w:tcBorders>
            <w:shd w:val="clear" w:color="auto" w:fill="auto"/>
            <w:vAlign w:val="center"/>
          </w:tcPr>
          <w:p w14:paraId="0F201BEC" w14:textId="77777777" w:rsidR="00C44F2A" w:rsidRPr="00C20B08" w:rsidRDefault="00C44F2A" w:rsidP="00C44F2A">
            <w:pPr>
              <w:jc w:val="center"/>
              <w:rPr>
                <w:rFonts w:ascii="Garamond" w:hAnsi="Garamond"/>
              </w:rPr>
            </w:pPr>
            <w:r w:rsidRPr="00C20B08">
              <w:rPr>
                <w:rFonts w:ascii="Garamond" w:hAnsi="Garamond"/>
              </w:rPr>
              <w:t>C0030</w:t>
            </w:r>
          </w:p>
        </w:tc>
        <w:tc>
          <w:tcPr>
            <w:tcW w:w="6352" w:type="dxa"/>
            <w:tcBorders>
              <w:top w:val="nil"/>
              <w:left w:val="single" w:sz="4" w:space="0" w:color="auto"/>
              <w:bottom w:val="single" w:sz="4" w:space="0" w:color="auto"/>
              <w:right w:val="single" w:sz="4" w:space="0" w:color="auto"/>
            </w:tcBorders>
          </w:tcPr>
          <w:p w14:paraId="5DDBD3EC" w14:textId="77777777" w:rsidR="00C44F2A" w:rsidRPr="00C20B08" w:rsidRDefault="00C0390B" w:rsidP="00C44F2A">
            <w:pPr>
              <w:rPr>
                <w:rFonts w:ascii="Garamond" w:hAnsi="Garamond"/>
              </w:rPr>
            </w:pPr>
            <w:r>
              <w:rPr>
                <w:rFonts w:ascii="Garamond" w:hAnsi="Garamond"/>
              </w:rPr>
              <w:t>Choisir l’une des valeurs suivantes :</w:t>
            </w:r>
          </w:p>
          <w:p w14:paraId="555DDE7F" w14:textId="47F4521F" w:rsidR="00C44F2A" w:rsidRPr="00C20B08" w:rsidRDefault="00C44F2A" w:rsidP="00C44F2A">
            <w:pPr>
              <w:rPr>
                <w:rFonts w:ascii="Garamond" w:hAnsi="Garamond"/>
              </w:rPr>
            </w:pPr>
            <w:r w:rsidRPr="00C20B08">
              <w:rPr>
                <w:rFonts w:ascii="Garamond" w:hAnsi="Garamond"/>
              </w:rPr>
              <w:t>1 – Comptabilité d’affectation relative à des contrats à prestations définies (</w:t>
            </w:r>
            <w:r w:rsidR="00535385">
              <w:rPr>
                <w:rFonts w:ascii="Garamond" w:hAnsi="Garamond"/>
              </w:rPr>
              <w:t>cf.</w:t>
            </w:r>
            <w:r w:rsidR="00FE6C34">
              <w:rPr>
                <w:rFonts w:ascii="Garamond" w:hAnsi="Garamond"/>
              </w:rPr>
              <w:t xml:space="preserve"> en France par exemple </w:t>
            </w:r>
            <w:r w:rsidR="00535385" w:rsidRPr="00535385">
              <w:rPr>
                <w:rFonts w:ascii="Garamond" w:hAnsi="Garamond"/>
              </w:rPr>
              <w:t>les indemnités de fin de carrière et les anciens contrats article 39</w:t>
            </w:r>
            <w:r w:rsidRPr="00C20B08">
              <w:rPr>
                <w:rFonts w:ascii="Garamond" w:hAnsi="Garamond"/>
              </w:rPr>
              <w:t xml:space="preserve">) </w:t>
            </w:r>
          </w:p>
          <w:p w14:paraId="0D2D9F35" w14:textId="03FBE282" w:rsidR="00C44F2A" w:rsidRPr="00C20B08" w:rsidRDefault="00C44F2A" w:rsidP="00C44F2A">
            <w:pPr>
              <w:rPr>
                <w:rFonts w:ascii="Garamond" w:hAnsi="Garamond"/>
              </w:rPr>
            </w:pPr>
            <w:r w:rsidRPr="00C20B08">
              <w:rPr>
                <w:rFonts w:ascii="Garamond" w:hAnsi="Garamond"/>
              </w:rPr>
              <w:t>2 – Comptabilité d’affectation relative à des Contrats à cotisations définies (</w:t>
            </w:r>
            <w:r w:rsidR="00A86984">
              <w:rPr>
                <w:rFonts w:ascii="Garamond" w:hAnsi="Garamond"/>
              </w:rPr>
              <w:t>hors</w:t>
            </w:r>
            <w:r w:rsidR="00535385" w:rsidRPr="00535385">
              <w:rPr>
                <w:rFonts w:ascii="Garamond" w:hAnsi="Garamond"/>
              </w:rPr>
              <w:t xml:space="preserve"> indemnités de fin de carrière</w:t>
            </w:r>
            <w:r w:rsidR="00A86984">
              <w:rPr>
                <w:rFonts w:ascii="Garamond" w:hAnsi="Garamond"/>
              </w:rPr>
              <w:t>, hors</w:t>
            </w:r>
            <w:r w:rsidR="00535385" w:rsidRPr="00535385">
              <w:rPr>
                <w:rFonts w:ascii="Garamond" w:hAnsi="Garamond"/>
              </w:rPr>
              <w:t xml:space="preserve"> anciens</w:t>
            </w:r>
            <w:r w:rsidR="00DB0832">
              <w:rPr>
                <w:rFonts w:ascii="Garamond" w:hAnsi="Garamond"/>
              </w:rPr>
              <w:t xml:space="preserve"> contrats</w:t>
            </w:r>
            <w:r w:rsidR="00535385" w:rsidRPr="00535385">
              <w:rPr>
                <w:rFonts w:ascii="Garamond" w:hAnsi="Garamond"/>
              </w:rPr>
              <w:t xml:space="preserve"> article 39</w:t>
            </w:r>
            <w:r w:rsidRPr="00C20B08">
              <w:rPr>
                <w:rFonts w:ascii="Garamond" w:hAnsi="Garamond"/>
              </w:rPr>
              <w:t>)</w:t>
            </w:r>
          </w:p>
          <w:p w14:paraId="2A416B67" w14:textId="77777777" w:rsidR="00C44F2A" w:rsidRPr="00C20B08" w:rsidRDefault="00C44F2A" w:rsidP="00C44F2A">
            <w:pPr>
              <w:rPr>
                <w:rFonts w:ascii="Garamond" w:hAnsi="Garamond"/>
              </w:rPr>
            </w:pPr>
            <w:r w:rsidRPr="00C20B08">
              <w:rPr>
                <w:rFonts w:ascii="Garamond" w:hAnsi="Garamond"/>
              </w:rPr>
              <w:t>3 – Comptabilité d’affectation relative à un autre type de contrat de retraite ne relevant ni de la catégorie 1 ni de la catégorie 2</w:t>
            </w:r>
          </w:p>
          <w:p w14:paraId="2AC21C45" w14:textId="77777777" w:rsidR="00C44F2A" w:rsidRPr="00C20B08" w:rsidRDefault="00C44F2A" w:rsidP="00C44F2A">
            <w:pPr>
              <w:rPr>
                <w:rFonts w:ascii="Garamond" w:hAnsi="Garamond"/>
              </w:rPr>
            </w:pPr>
            <w:r w:rsidRPr="00C20B08">
              <w:rPr>
                <w:rFonts w:ascii="Garamond" w:hAnsi="Garamond"/>
              </w:rPr>
              <w:t xml:space="preserve">4 - Comptabilité d’affectation non relative aux caractéristiques des engagements de retraite (Par exemple </w:t>
            </w:r>
            <w:proofErr w:type="spellStart"/>
            <w:r w:rsidRPr="00C20B08">
              <w:rPr>
                <w:rFonts w:ascii="Garamond" w:hAnsi="Garamond"/>
              </w:rPr>
              <w:t>Eurocroissance</w:t>
            </w:r>
            <w:proofErr w:type="spellEnd"/>
            <w:r w:rsidRPr="00C20B08">
              <w:rPr>
                <w:rFonts w:ascii="Garamond" w:hAnsi="Garamond"/>
              </w:rPr>
              <w:t xml:space="preserve"> si applicable)</w:t>
            </w:r>
          </w:p>
        </w:tc>
      </w:tr>
      <w:tr w:rsidR="00D80272" w:rsidRPr="00C20B08" w14:paraId="2D5AAA64"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273AB431" w14:textId="77777777" w:rsidR="00D80272" w:rsidRPr="00B515DF" w:rsidRDefault="00D80272" w:rsidP="00C44F2A">
            <w:pPr>
              <w:rPr>
                <w:rFonts w:ascii="Garamond" w:hAnsi="Garamond"/>
              </w:rPr>
            </w:pPr>
            <w:r w:rsidRPr="00D80272">
              <w:rPr>
                <w:rFonts w:ascii="Garamond" w:hAnsi="Garamond"/>
              </w:rPr>
              <w:t>Instrument sous-jacent au dérivé</w:t>
            </w:r>
          </w:p>
        </w:tc>
        <w:tc>
          <w:tcPr>
            <w:tcW w:w="947" w:type="dxa"/>
            <w:tcBorders>
              <w:top w:val="nil"/>
              <w:left w:val="single" w:sz="4" w:space="0" w:color="auto"/>
              <w:bottom w:val="single" w:sz="4" w:space="0" w:color="auto"/>
              <w:right w:val="single" w:sz="4" w:space="0" w:color="auto"/>
            </w:tcBorders>
            <w:shd w:val="clear" w:color="auto" w:fill="auto"/>
            <w:vAlign w:val="center"/>
          </w:tcPr>
          <w:p w14:paraId="121F7486" w14:textId="77777777" w:rsidR="00D80272" w:rsidRPr="00C20B08" w:rsidRDefault="00D80272" w:rsidP="00C44F2A">
            <w:pPr>
              <w:jc w:val="center"/>
              <w:rPr>
                <w:rFonts w:ascii="Garamond" w:hAnsi="Garamond"/>
              </w:rPr>
            </w:pPr>
            <w:r>
              <w:rPr>
                <w:rFonts w:ascii="Garamond" w:hAnsi="Garamond"/>
              </w:rPr>
              <w:t>C0090</w:t>
            </w:r>
          </w:p>
        </w:tc>
        <w:tc>
          <w:tcPr>
            <w:tcW w:w="6352" w:type="dxa"/>
            <w:tcBorders>
              <w:top w:val="nil"/>
              <w:left w:val="single" w:sz="4" w:space="0" w:color="auto"/>
              <w:bottom w:val="single" w:sz="4" w:space="0" w:color="auto"/>
              <w:right w:val="single" w:sz="4" w:space="0" w:color="auto"/>
            </w:tcBorders>
          </w:tcPr>
          <w:p w14:paraId="5BC5FF69" w14:textId="77777777" w:rsidR="00D80272" w:rsidRDefault="00D80272" w:rsidP="00535385">
            <w:pPr>
              <w:spacing w:after="0"/>
              <w:jc w:val="both"/>
              <w:rPr>
                <w:rFonts w:ascii="Times New Roman" w:hAnsi="Times New Roman" w:cs="Times New Roman"/>
                <w:sz w:val="20"/>
                <w:szCs w:val="20"/>
              </w:rPr>
            </w:pPr>
            <w:r w:rsidRPr="00790696">
              <w:rPr>
                <w:rFonts w:ascii="Times New Roman" w:hAnsi="Times New Roman" w:cs="Times New Roman"/>
                <w:sz w:val="20"/>
                <w:szCs w:val="20"/>
              </w:rPr>
              <w:t>Code d'identification de l'instrument (actif ou passif) sous-jacent au contrat dérivé. Cet élément n'est à déclarer que pour les dérivés ayant un ou plusieurs instruments sous-jacents dans le portefeuille de l'entreprise. Un indice est considéré comme un instrume</w:t>
            </w:r>
            <w:r>
              <w:rPr>
                <w:rFonts w:ascii="Times New Roman" w:hAnsi="Times New Roman" w:cs="Times New Roman"/>
                <w:sz w:val="20"/>
                <w:szCs w:val="20"/>
              </w:rPr>
              <w:t>nt unique et doit être déclaré.</w:t>
            </w:r>
          </w:p>
          <w:p w14:paraId="55E44AF7" w14:textId="77777777" w:rsidR="00D80272" w:rsidRDefault="00D80272" w:rsidP="00535385">
            <w:pPr>
              <w:spacing w:after="0"/>
              <w:jc w:val="both"/>
              <w:rPr>
                <w:rFonts w:ascii="Times New Roman" w:hAnsi="Times New Roman" w:cs="Times New Roman"/>
                <w:sz w:val="20"/>
                <w:szCs w:val="20"/>
              </w:rPr>
            </w:pPr>
          </w:p>
          <w:p w14:paraId="321CCE2F" w14:textId="77777777" w:rsidR="00D80272" w:rsidRPr="00790696" w:rsidRDefault="00D80272" w:rsidP="00535385">
            <w:pPr>
              <w:spacing w:after="0"/>
              <w:jc w:val="both"/>
              <w:rPr>
                <w:rFonts w:ascii="Times New Roman" w:hAnsi="Times New Roman" w:cs="Times New Roman"/>
                <w:sz w:val="20"/>
                <w:szCs w:val="20"/>
              </w:rPr>
            </w:pPr>
            <w:r w:rsidRPr="00790696">
              <w:rPr>
                <w:rFonts w:ascii="Times New Roman" w:hAnsi="Times New Roman" w:cs="Times New Roman"/>
                <w:sz w:val="20"/>
                <w:szCs w:val="20"/>
              </w:rPr>
              <w:t>Indiquer le code d'identification de l'instrument sous-jacent au dérivé, selon l'ordre de priorité suivant:</w:t>
            </w:r>
          </w:p>
          <w:p w14:paraId="161E9C7F" w14:textId="77777777" w:rsidR="00D80272" w:rsidRDefault="00D80272" w:rsidP="00535385">
            <w:pPr>
              <w:spacing w:after="0"/>
              <w:jc w:val="both"/>
              <w:rPr>
                <w:rFonts w:ascii="Times New Roman" w:hAnsi="Times New Roman" w:cs="Times New Roman"/>
                <w:sz w:val="20"/>
                <w:szCs w:val="20"/>
              </w:rPr>
            </w:pPr>
            <w:r w:rsidRPr="00790696">
              <w:rPr>
                <w:rFonts w:ascii="Times New Roman" w:hAnsi="Times New Roman" w:cs="Times New Roman"/>
                <w:sz w:val="20"/>
                <w:szCs w:val="20"/>
              </w:rPr>
              <w:t xml:space="preserve">— code ISIN ISO 6166, lorsqu'il est disponible; </w:t>
            </w:r>
          </w:p>
          <w:p w14:paraId="2F666930" w14:textId="77777777" w:rsidR="00D80272" w:rsidRDefault="00D80272" w:rsidP="00535385">
            <w:pPr>
              <w:spacing w:after="0"/>
              <w:jc w:val="both"/>
              <w:rPr>
                <w:rFonts w:ascii="Times New Roman" w:hAnsi="Times New Roman" w:cs="Times New Roman"/>
                <w:sz w:val="20"/>
                <w:szCs w:val="20"/>
              </w:rPr>
            </w:pPr>
            <w:r w:rsidRPr="00790696">
              <w:rPr>
                <w:rFonts w:ascii="Times New Roman" w:hAnsi="Times New Roman" w:cs="Times New Roman"/>
                <w:sz w:val="20"/>
                <w:szCs w:val="20"/>
              </w:rPr>
              <w:t xml:space="preserve">— autres codes reconnus (tels que CUSIP, Bloomberg </w:t>
            </w:r>
            <w:proofErr w:type="spellStart"/>
            <w:r w:rsidRPr="00790696">
              <w:rPr>
                <w:rFonts w:ascii="Times New Roman" w:hAnsi="Times New Roman" w:cs="Times New Roman"/>
                <w:sz w:val="20"/>
                <w:szCs w:val="20"/>
              </w:rPr>
              <w:t>Ticker</w:t>
            </w:r>
            <w:proofErr w:type="spellEnd"/>
            <w:r w:rsidRPr="00790696">
              <w:rPr>
                <w:rFonts w:ascii="Times New Roman" w:hAnsi="Times New Roman" w:cs="Times New Roman"/>
                <w:sz w:val="20"/>
                <w:szCs w:val="20"/>
              </w:rPr>
              <w:t>, Reuters RIC)</w:t>
            </w:r>
          </w:p>
          <w:p w14:paraId="06DE20FF" w14:textId="77777777" w:rsidR="00D80272" w:rsidRDefault="00D80272" w:rsidP="00535385">
            <w:pPr>
              <w:spacing w:after="0"/>
              <w:jc w:val="both"/>
              <w:rPr>
                <w:rFonts w:ascii="Times New Roman" w:hAnsi="Times New Roman" w:cs="Times New Roman"/>
                <w:sz w:val="20"/>
                <w:szCs w:val="20"/>
              </w:rPr>
            </w:pPr>
            <w:r w:rsidRPr="00790696">
              <w:rPr>
                <w:rFonts w:ascii="Times New Roman" w:hAnsi="Times New Roman" w:cs="Times New Roman"/>
                <w:sz w:val="20"/>
                <w:szCs w:val="20"/>
              </w:rPr>
              <w:t xml:space="preserve">— code attribué par l'entreprise à l'instrument sous-jacent lorsque les options ci-dessus ne sont pas disponibles, et qui doit rester unique et constant dans le temps pour cet instrument; </w:t>
            </w:r>
          </w:p>
          <w:p w14:paraId="12A47FDA" w14:textId="77777777" w:rsidR="00D80272" w:rsidRPr="00790696" w:rsidRDefault="00D80272" w:rsidP="00535385">
            <w:pPr>
              <w:spacing w:after="0"/>
              <w:jc w:val="both"/>
              <w:rPr>
                <w:rFonts w:ascii="Times New Roman" w:hAnsi="Times New Roman" w:cs="Times New Roman"/>
                <w:sz w:val="20"/>
                <w:szCs w:val="20"/>
              </w:rPr>
            </w:pPr>
            <w:r w:rsidRPr="00790696">
              <w:rPr>
                <w:rFonts w:ascii="Times New Roman" w:hAnsi="Times New Roman" w:cs="Times New Roman"/>
                <w:sz w:val="20"/>
                <w:szCs w:val="20"/>
              </w:rPr>
              <w:t>— «</w:t>
            </w:r>
            <w:r w:rsidR="00A86984">
              <w:rPr>
                <w:rFonts w:ascii="Times New Roman" w:hAnsi="Times New Roman" w:cs="Times New Roman"/>
                <w:sz w:val="20"/>
                <w:szCs w:val="20"/>
              </w:rPr>
              <w:t xml:space="preserve"> </w:t>
            </w:r>
            <w:r w:rsidRPr="00790696">
              <w:rPr>
                <w:rFonts w:ascii="Times New Roman" w:hAnsi="Times New Roman" w:cs="Times New Roman"/>
                <w:sz w:val="20"/>
                <w:szCs w:val="20"/>
              </w:rPr>
              <w:t>actifs/passifs multiples</w:t>
            </w:r>
            <w:r w:rsidR="00A86984">
              <w:rPr>
                <w:rFonts w:ascii="Times New Roman" w:hAnsi="Times New Roman" w:cs="Times New Roman"/>
                <w:sz w:val="20"/>
                <w:szCs w:val="20"/>
              </w:rPr>
              <w:t xml:space="preserve"> </w:t>
            </w:r>
            <w:r w:rsidRPr="00790696">
              <w:rPr>
                <w:rFonts w:ascii="Times New Roman" w:hAnsi="Times New Roman" w:cs="Times New Roman"/>
                <w:sz w:val="20"/>
                <w:szCs w:val="20"/>
              </w:rPr>
              <w:t>», s'il y a plusieurs actifs ou</w:t>
            </w:r>
            <w:r>
              <w:rPr>
                <w:rFonts w:ascii="Times New Roman" w:hAnsi="Times New Roman" w:cs="Times New Roman"/>
                <w:sz w:val="20"/>
                <w:szCs w:val="20"/>
              </w:rPr>
              <w:t xml:space="preserve"> </w:t>
            </w:r>
            <w:r w:rsidRPr="00790696">
              <w:rPr>
                <w:rFonts w:ascii="Times New Roman" w:hAnsi="Times New Roman" w:cs="Times New Roman"/>
                <w:sz w:val="20"/>
                <w:szCs w:val="20"/>
              </w:rPr>
              <w:t>passifs sous-jacents.</w:t>
            </w:r>
          </w:p>
          <w:p w14:paraId="4BC97DED" w14:textId="77777777" w:rsidR="00D80272" w:rsidRDefault="00D80272" w:rsidP="00535385">
            <w:pPr>
              <w:spacing w:after="0"/>
              <w:jc w:val="both"/>
              <w:rPr>
                <w:rFonts w:ascii="Times New Roman" w:hAnsi="Times New Roman" w:cs="Times New Roman"/>
                <w:sz w:val="20"/>
                <w:szCs w:val="20"/>
              </w:rPr>
            </w:pPr>
          </w:p>
          <w:p w14:paraId="0BF0BBA0" w14:textId="77777777" w:rsidR="00D80272" w:rsidRPr="00C20B08" w:rsidDel="00C0390B" w:rsidRDefault="00D80272" w:rsidP="00535385">
            <w:pPr>
              <w:spacing w:after="0"/>
              <w:rPr>
                <w:rFonts w:ascii="Garamond" w:hAnsi="Garamond"/>
              </w:rPr>
            </w:pPr>
            <w:r w:rsidRPr="00790696">
              <w:rPr>
                <w:rFonts w:ascii="Times New Roman" w:hAnsi="Times New Roman" w:cs="Times New Roman"/>
                <w:sz w:val="20"/>
                <w:szCs w:val="20"/>
              </w:rPr>
              <w:t>Si l'instrument sous-jacent est un indice, indiquer le code de l'indice.</w:t>
            </w:r>
          </w:p>
        </w:tc>
      </w:tr>
      <w:tr w:rsidR="00C44F2A" w:rsidRPr="00C20B08" w14:paraId="640E0CD1"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0A4779D3" w14:textId="77777777" w:rsidR="00C44F2A" w:rsidRPr="00C20B08" w:rsidRDefault="00D80272" w:rsidP="00C44F2A">
            <w:pPr>
              <w:rPr>
                <w:rFonts w:ascii="Garamond" w:hAnsi="Garamond"/>
                <w:bCs/>
              </w:rPr>
            </w:pPr>
            <w:r w:rsidRPr="00D80272">
              <w:rPr>
                <w:rFonts w:ascii="Garamond" w:hAnsi="Garamond"/>
                <w:bCs/>
              </w:rPr>
              <w:t>Utilisation du dérivé</w:t>
            </w:r>
          </w:p>
        </w:tc>
        <w:tc>
          <w:tcPr>
            <w:tcW w:w="947" w:type="dxa"/>
            <w:tcBorders>
              <w:top w:val="nil"/>
              <w:left w:val="single" w:sz="4" w:space="0" w:color="auto"/>
              <w:bottom w:val="single" w:sz="4" w:space="0" w:color="auto"/>
              <w:right w:val="single" w:sz="4" w:space="0" w:color="auto"/>
            </w:tcBorders>
            <w:shd w:val="clear" w:color="auto" w:fill="auto"/>
            <w:vAlign w:val="center"/>
          </w:tcPr>
          <w:p w14:paraId="73194FAB" w14:textId="77777777" w:rsidR="00C44F2A" w:rsidRPr="00C20B08" w:rsidRDefault="00D80272" w:rsidP="00C44F2A">
            <w:pPr>
              <w:jc w:val="center"/>
              <w:rPr>
                <w:rFonts w:ascii="Garamond" w:hAnsi="Garamond"/>
              </w:rPr>
            </w:pPr>
            <w:r>
              <w:rPr>
                <w:rFonts w:ascii="Garamond" w:hAnsi="Garamond"/>
              </w:rPr>
              <w:t>C0110</w:t>
            </w:r>
          </w:p>
        </w:tc>
        <w:tc>
          <w:tcPr>
            <w:tcW w:w="6352" w:type="dxa"/>
            <w:tcBorders>
              <w:top w:val="nil"/>
              <w:left w:val="single" w:sz="4" w:space="0" w:color="auto"/>
              <w:bottom w:val="single" w:sz="4" w:space="0" w:color="auto"/>
              <w:right w:val="single" w:sz="4" w:space="0" w:color="auto"/>
            </w:tcBorders>
          </w:tcPr>
          <w:p w14:paraId="2D123FEB" w14:textId="77777777" w:rsidR="00D80272" w:rsidRDefault="00D80272" w:rsidP="00535385">
            <w:pPr>
              <w:spacing w:after="0"/>
              <w:jc w:val="both"/>
              <w:rPr>
                <w:rFonts w:ascii="Times New Roman" w:hAnsi="Times New Roman" w:cs="Times New Roman"/>
                <w:sz w:val="20"/>
                <w:szCs w:val="20"/>
              </w:rPr>
            </w:pPr>
            <w:r w:rsidRPr="003848AB">
              <w:rPr>
                <w:rFonts w:ascii="Times New Roman" w:hAnsi="Times New Roman" w:cs="Times New Roman"/>
                <w:sz w:val="20"/>
                <w:szCs w:val="20"/>
              </w:rPr>
              <w:t>Décrire ce pour quoi le dérivé est utilisé (micro- ou macro-couverture, gestion efficace de portefeuille).</w:t>
            </w:r>
          </w:p>
          <w:p w14:paraId="302AEA52" w14:textId="77777777" w:rsidR="00D80272" w:rsidRPr="003848AB" w:rsidRDefault="00D80272" w:rsidP="00535385">
            <w:pPr>
              <w:spacing w:after="0"/>
              <w:jc w:val="both"/>
              <w:rPr>
                <w:rFonts w:ascii="Times New Roman" w:hAnsi="Times New Roman" w:cs="Times New Roman"/>
                <w:sz w:val="20"/>
                <w:szCs w:val="20"/>
              </w:rPr>
            </w:pPr>
          </w:p>
          <w:p w14:paraId="796C1E5B" w14:textId="77777777" w:rsidR="00D80272" w:rsidRDefault="00D80272" w:rsidP="00535385">
            <w:pPr>
              <w:spacing w:after="0"/>
              <w:jc w:val="both"/>
              <w:rPr>
                <w:rFonts w:ascii="Times New Roman" w:hAnsi="Times New Roman" w:cs="Times New Roman"/>
                <w:sz w:val="20"/>
                <w:szCs w:val="20"/>
              </w:rPr>
            </w:pPr>
            <w:r w:rsidRPr="003848AB">
              <w:rPr>
                <w:rFonts w:ascii="Times New Roman" w:hAnsi="Times New Roman" w:cs="Times New Roman"/>
                <w:sz w:val="20"/>
                <w:szCs w:val="20"/>
              </w:rPr>
              <w:t>On parle de micro-couverture dans le cas de dérivés couvrant un instrument financier unique (actif ou passif), une transaction prévue ou un autre engagement.</w:t>
            </w:r>
          </w:p>
          <w:p w14:paraId="43D58FB4" w14:textId="77777777" w:rsidR="00D80272" w:rsidRPr="003848AB" w:rsidRDefault="00D80272" w:rsidP="00535385">
            <w:pPr>
              <w:spacing w:after="0"/>
              <w:jc w:val="both"/>
              <w:rPr>
                <w:rFonts w:ascii="Times New Roman" w:hAnsi="Times New Roman" w:cs="Times New Roman"/>
                <w:sz w:val="20"/>
                <w:szCs w:val="20"/>
              </w:rPr>
            </w:pPr>
          </w:p>
          <w:p w14:paraId="72F6D5F6" w14:textId="77777777" w:rsidR="00D80272" w:rsidRDefault="00D80272" w:rsidP="00535385">
            <w:pPr>
              <w:spacing w:after="0"/>
              <w:jc w:val="both"/>
              <w:rPr>
                <w:rFonts w:ascii="Times New Roman" w:hAnsi="Times New Roman" w:cs="Times New Roman"/>
                <w:sz w:val="20"/>
                <w:szCs w:val="20"/>
              </w:rPr>
            </w:pPr>
            <w:r w:rsidRPr="003848AB">
              <w:rPr>
                <w:rFonts w:ascii="Times New Roman" w:hAnsi="Times New Roman" w:cs="Times New Roman"/>
                <w:sz w:val="20"/>
                <w:szCs w:val="20"/>
              </w:rPr>
              <w:t>On parle de macro-couverture dans le cas de dérivés couvrant un ensemble d'instruments financiers (actifs ou passifs), de transactions prévues ou d'autres engagements.</w:t>
            </w:r>
          </w:p>
          <w:p w14:paraId="027B3BF3" w14:textId="77777777" w:rsidR="00D80272" w:rsidRPr="003848AB" w:rsidRDefault="00D80272" w:rsidP="00535385">
            <w:pPr>
              <w:spacing w:after="0"/>
              <w:jc w:val="both"/>
              <w:rPr>
                <w:rFonts w:ascii="Times New Roman" w:hAnsi="Times New Roman" w:cs="Times New Roman"/>
                <w:sz w:val="20"/>
                <w:szCs w:val="20"/>
              </w:rPr>
            </w:pPr>
          </w:p>
          <w:p w14:paraId="4CB79D3D" w14:textId="77777777" w:rsidR="00D80272" w:rsidRDefault="00D80272" w:rsidP="00535385">
            <w:pPr>
              <w:spacing w:after="0"/>
              <w:jc w:val="both"/>
              <w:rPr>
                <w:rFonts w:ascii="Times New Roman" w:hAnsi="Times New Roman" w:cs="Times New Roman"/>
                <w:sz w:val="20"/>
                <w:szCs w:val="20"/>
              </w:rPr>
            </w:pPr>
            <w:r w:rsidRPr="003848AB">
              <w:rPr>
                <w:rFonts w:ascii="Times New Roman" w:hAnsi="Times New Roman" w:cs="Times New Roman"/>
                <w:sz w:val="20"/>
                <w:szCs w:val="20"/>
              </w:rPr>
              <w:t>On entend généralement par «</w:t>
            </w:r>
            <w:r>
              <w:rPr>
                <w:rFonts w:ascii="Times New Roman" w:hAnsi="Times New Roman" w:cs="Times New Roman"/>
                <w:sz w:val="20"/>
                <w:szCs w:val="20"/>
              </w:rPr>
              <w:t xml:space="preserve"> </w:t>
            </w:r>
            <w:r w:rsidRPr="003848AB">
              <w:rPr>
                <w:rFonts w:ascii="Times New Roman" w:hAnsi="Times New Roman" w:cs="Times New Roman"/>
                <w:sz w:val="20"/>
                <w:szCs w:val="20"/>
              </w:rPr>
              <w:t>gestion efficace de portefeuille</w:t>
            </w:r>
            <w:r>
              <w:rPr>
                <w:rFonts w:ascii="Times New Roman" w:hAnsi="Times New Roman" w:cs="Times New Roman"/>
                <w:sz w:val="20"/>
                <w:szCs w:val="20"/>
              </w:rPr>
              <w:t xml:space="preserve"> </w:t>
            </w:r>
            <w:r w:rsidRPr="003848AB">
              <w:rPr>
                <w:rFonts w:ascii="Times New Roman" w:hAnsi="Times New Roman" w:cs="Times New Roman"/>
                <w:sz w:val="20"/>
                <w:szCs w:val="20"/>
              </w:rPr>
              <w:t>» des opérations par lesquelles le gestionnaire s'efforce d'améliorer les revenus générés par un portefeuille en échangeant un schéma de (faibles) flux de trésorerie par un autre à plus haute valeur, en utilisant à cet effet un dérivé ou un ensemble de dérivés, ce qui lui permet de ne pas modifier la composition du portefeuille d'actifs, d'investir un montant moins important et de supporter moins de coûts de transaction.</w:t>
            </w:r>
          </w:p>
          <w:p w14:paraId="3B17FD56" w14:textId="77777777" w:rsidR="00D80272" w:rsidRDefault="00D80272" w:rsidP="00535385">
            <w:pPr>
              <w:spacing w:after="0"/>
              <w:jc w:val="both"/>
              <w:rPr>
                <w:rFonts w:ascii="Times New Roman" w:hAnsi="Times New Roman" w:cs="Times New Roman"/>
                <w:sz w:val="20"/>
                <w:szCs w:val="20"/>
              </w:rPr>
            </w:pPr>
          </w:p>
          <w:p w14:paraId="225EA45C" w14:textId="77777777" w:rsidR="00D80272" w:rsidRDefault="00D80272" w:rsidP="00535385">
            <w:pPr>
              <w:spacing w:after="0"/>
              <w:jc w:val="both"/>
              <w:rPr>
                <w:rFonts w:ascii="Times New Roman" w:hAnsi="Times New Roman" w:cs="Times New Roman"/>
                <w:sz w:val="20"/>
                <w:szCs w:val="20"/>
              </w:rPr>
            </w:pPr>
            <w:r w:rsidRPr="003848AB">
              <w:rPr>
                <w:rFonts w:ascii="Times New Roman" w:hAnsi="Times New Roman" w:cs="Times New Roman"/>
                <w:sz w:val="20"/>
                <w:szCs w:val="20"/>
              </w:rPr>
              <w:t>Choisir impérativement l'une des options suivantes:</w:t>
            </w:r>
          </w:p>
          <w:p w14:paraId="23D42847" w14:textId="77777777" w:rsidR="00D80272" w:rsidRPr="003848AB" w:rsidRDefault="00D80272" w:rsidP="00535385">
            <w:pPr>
              <w:spacing w:after="0"/>
              <w:jc w:val="both"/>
              <w:rPr>
                <w:rFonts w:ascii="Times New Roman" w:hAnsi="Times New Roman" w:cs="Times New Roman"/>
                <w:sz w:val="20"/>
                <w:szCs w:val="20"/>
              </w:rPr>
            </w:pPr>
          </w:p>
          <w:p w14:paraId="1D19F0E1" w14:textId="77777777" w:rsidR="00D80272" w:rsidRPr="003848AB" w:rsidRDefault="00D80272" w:rsidP="00535385">
            <w:pPr>
              <w:spacing w:after="0"/>
              <w:jc w:val="both"/>
              <w:rPr>
                <w:rFonts w:ascii="Times New Roman" w:hAnsi="Times New Roman" w:cs="Times New Roman"/>
                <w:sz w:val="20"/>
                <w:szCs w:val="20"/>
              </w:rPr>
            </w:pPr>
            <w:r w:rsidRPr="003848AB">
              <w:rPr>
                <w:rFonts w:ascii="Times New Roman" w:hAnsi="Times New Roman" w:cs="Times New Roman"/>
                <w:sz w:val="20"/>
                <w:szCs w:val="20"/>
              </w:rPr>
              <w:t>1</w:t>
            </w:r>
            <w:r>
              <w:rPr>
                <w:rFonts w:ascii="Times New Roman" w:hAnsi="Times New Roman" w:cs="Times New Roman"/>
                <w:sz w:val="20"/>
                <w:szCs w:val="20"/>
              </w:rPr>
              <w:t xml:space="preserve"> - </w:t>
            </w:r>
            <w:r w:rsidRPr="003848AB">
              <w:rPr>
                <w:rFonts w:ascii="Times New Roman" w:hAnsi="Times New Roman" w:cs="Times New Roman"/>
                <w:sz w:val="20"/>
                <w:szCs w:val="20"/>
              </w:rPr>
              <w:t>Micro-couverture</w:t>
            </w:r>
          </w:p>
          <w:p w14:paraId="073AAD5A" w14:textId="77777777" w:rsidR="00D80272" w:rsidRPr="003848AB" w:rsidRDefault="00D80272" w:rsidP="00535385">
            <w:pPr>
              <w:spacing w:after="0"/>
              <w:jc w:val="both"/>
              <w:rPr>
                <w:rFonts w:ascii="Times New Roman" w:hAnsi="Times New Roman" w:cs="Times New Roman"/>
                <w:sz w:val="20"/>
                <w:szCs w:val="20"/>
              </w:rPr>
            </w:pPr>
            <w:r w:rsidRPr="003848AB">
              <w:rPr>
                <w:rFonts w:ascii="Times New Roman" w:hAnsi="Times New Roman" w:cs="Times New Roman"/>
                <w:sz w:val="20"/>
                <w:szCs w:val="20"/>
              </w:rPr>
              <w:t>2</w:t>
            </w:r>
            <w:r>
              <w:rPr>
                <w:rFonts w:ascii="Times New Roman" w:hAnsi="Times New Roman" w:cs="Times New Roman"/>
                <w:sz w:val="20"/>
                <w:szCs w:val="20"/>
              </w:rPr>
              <w:t xml:space="preserve"> - </w:t>
            </w:r>
            <w:r w:rsidRPr="003848AB">
              <w:rPr>
                <w:rFonts w:ascii="Times New Roman" w:hAnsi="Times New Roman" w:cs="Times New Roman"/>
                <w:sz w:val="20"/>
                <w:szCs w:val="20"/>
              </w:rPr>
              <w:t>Macro-couverture</w:t>
            </w:r>
          </w:p>
          <w:p w14:paraId="7118FF5A" w14:textId="77777777" w:rsidR="00D80272" w:rsidRPr="003848AB" w:rsidRDefault="00D80272" w:rsidP="00535385">
            <w:pPr>
              <w:spacing w:after="0"/>
              <w:jc w:val="both"/>
              <w:rPr>
                <w:rFonts w:ascii="Times New Roman" w:hAnsi="Times New Roman" w:cs="Times New Roman"/>
                <w:sz w:val="20"/>
                <w:szCs w:val="20"/>
              </w:rPr>
            </w:pPr>
            <w:r w:rsidRPr="003848AB">
              <w:rPr>
                <w:rFonts w:ascii="Times New Roman" w:hAnsi="Times New Roman" w:cs="Times New Roman"/>
                <w:sz w:val="20"/>
                <w:szCs w:val="20"/>
              </w:rPr>
              <w:t>3</w:t>
            </w:r>
            <w:r>
              <w:rPr>
                <w:rFonts w:ascii="Times New Roman" w:hAnsi="Times New Roman" w:cs="Times New Roman"/>
                <w:sz w:val="20"/>
                <w:szCs w:val="20"/>
              </w:rPr>
              <w:t xml:space="preserve"> - </w:t>
            </w:r>
            <w:r w:rsidRPr="003848AB">
              <w:rPr>
                <w:rFonts w:ascii="Times New Roman" w:hAnsi="Times New Roman" w:cs="Times New Roman"/>
                <w:sz w:val="20"/>
                <w:szCs w:val="20"/>
              </w:rPr>
              <w:t>Appariement des flux de trésorerie, respectivement générés par les actifs et les passifs, utilisé dans le contexte de portefeuilles sous ajustement égalisateur</w:t>
            </w:r>
          </w:p>
          <w:p w14:paraId="67091F99" w14:textId="77777777" w:rsidR="00C44F2A" w:rsidRPr="0025212E" w:rsidRDefault="00D80272" w:rsidP="00535385">
            <w:pPr>
              <w:spacing w:after="0"/>
              <w:rPr>
                <w:rFonts w:ascii="Garamond" w:hAnsi="Garamond"/>
                <w:i/>
              </w:rPr>
            </w:pPr>
            <w:r w:rsidRPr="003848AB">
              <w:rPr>
                <w:rFonts w:ascii="Times New Roman" w:hAnsi="Times New Roman" w:cs="Times New Roman"/>
                <w:sz w:val="20"/>
                <w:szCs w:val="20"/>
              </w:rPr>
              <w:t>4</w:t>
            </w:r>
            <w:r>
              <w:rPr>
                <w:rFonts w:ascii="Times New Roman" w:hAnsi="Times New Roman" w:cs="Times New Roman"/>
                <w:sz w:val="20"/>
                <w:szCs w:val="20"/>
              </w:rPr>
              <w:t xml:space="preserve"> - </w:t>
            </w:r>
            <w:r w:rsidRPr="003848AB">
              <w:rPr>
                <w:rFonts w:ascii="Times New Roman" w:hAnsi="Times New Roman" w:cs="Times New Roman"/>
                <w:sz w:val="20"/>
                <w:szCs w:val="20"/>
              </w:rPr>
              <w:t>Gestion efficace de portefeuille, autre qu'«Appariement des flux de trésorerie, respectivement générés par les actifs et les passifs, utilisé dans le contexte de portefeuilles sous ajustement égalisateur»</w:t>
            </w:r>
          </w:p>
        </w:tc>
      </w:tr>
      <w:tr w:rsidR="00C44F2A" w:rsidRPr="00C20B08" w14:paraId="4F5FFFA8"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0A0E9EC5" w14:textId="77777777" w:rsidR="00C44F2A" w:rsidRPr="00C20B08" w:rsidRDefault="00754CF9" w:rsidP="00C44F2A">
            <w:pPr>
              <w:rPr>
                <w:rFonts w:ascii="Garamond" w:hAnsi="Garamond"/>
                <w:bCs/>
              </w:rPr>
            </w:pPr>
            <w:r>
              <w:rPr>
                <w:rFonts w:ascii="Garamond" w:hAnsi="Garamond"/>
                <w:bCs/>
              </w:rPr>
              <w:t>Delta</w:t>
            </w:r>
          </w:p>
        </w:tc>
        <w:tc>
          <w:tcPr>
            <w:tcW w:w="947" w:type="dxa"/>
            <w:tcBorders>
              <w:top w:val="nil"/>
              <w:left w:val="single" w:sz="4" w:space="0" w:color="auto"/>
              <w:bottom w:val="single" w:sz="4" w:space="0" w:color="auto"/>
              <w:right w:val="single" w:sz="4" w:space="0" w:color="auto"/>
            </w:tcBorders>
            <w:shd w:val="clear" w:color="auto" w:fill="auto"/>
            <w:vAlign w:val="center"/>
          </w:tcPr>
          <w:p w14:paraId="6DEDB42B" w14:textId="77777777" w:rsidR="00C44F2A" w:rsidRPr="00C20B08" w:rsidRDefault="00754CF9" w:rsidP="00C44F2A">
            <w:pPr>
              <w:jc w:val="center"/>
              <w:rPr>
                <w:rFonts w:ascii="Garamond" w:hAnsi="Garamond"/>
              </w:rPr>
            </w:pPr>
            <w:r>
              <w:rPr>
                <w:rFonts w:ascii="Garamond" w:hAnsi="Garamond"/>
              </w:rPr>
              <w:t>C0120</w:t>
            </w:r>
          </w:p>
        </w:tc>
        <w:tc>
          <w:tcPr>
            <w:tcW w:w="6352" w:type="dxa"/>
            <w:tcBorders>
              <w:top w:val="nil"/>
              <w:left w:val="single" w:sz="4" w:space="0" w:color="auto"/>
              <w:bottom w:val="single" w:sz="4" w:space="0" w:color="auto"/>
              <w:right w:val="single" w:sz="4" w:space="0" w:color="auto"/>
            </w:tcBorders>
          </w:tcPr>
          <w:p w14:paraId="5325D632" w14:textId="77777777" w:rsidR="00754CF9" w:rsidRDefault="00754CF9" w:rsidP="00535385">
            <w:pPr>
              <w:spacing w:after="0"/>
              <w:jc w:val="both"/>
              <w:rPr>
                <w:rFonts w:ascii="Times New Roman" w:hAnsi="Times New Roman" w:cs="Times New Roman"/>
                <w:sz w:val="20"/>
                <w:szCs w:val="20"/>
              </w:rPr>
            </w:pPr>
            <w:r w:rsidRPr="003848AB">
              <w:rPr>
                <w:rFonts w:ascii="Times New Roman" w:hAnsi="Times New Roman" w:cs="Times New Roman"/>
                <w:sz w:val="20"/>
                <w:szCs w:val="20"/>
              </w:rPr>
              <w:t>Applicable uniquement aux catégories CIC B et C (options d'achat et de vente), avec référence à la date de déclaration.</w:t>
            </w:r>
          </w:p>
          <w:p w14:paraId="6D9730AD" w14:textId="77777777" w:rsidR="00754CF9" w:rsidRPr="003848AB" w:rsidRDefault="00754CF9" w:rsidP="00535385">
            <w:pPr>
              <w:spacing w:after="0"/>
              <w:jc w:val="both"/>
              <w:rPr>
                <w:rFonts w:ascii="Times New Roman" w:hAnsi="Times New Roman" w:cs="Times New Roman"/>
                <w:sz w:val="20"/>
                <w:szCs w:val="20"/>
              </w:rPr>
            </w:pPr>
          </w:p>
          <w:p w14:paraId="5C3347FE" w14:textId="77777777" w:rsidR="00754CF9" w:rsidRDefault="00754CF9" w:rsidP="00535385">
            <w:pPr>
              <w:spacing w:after="0"/>
              <w:jc w:val="both"/>
              <w:rPr>
                <w:rFonts w:ascii="Times New Roman" w:hAnsi="Times New Roman" w:cs="Times New Roman"/>
                <w:sz w:val="20"/>
                <w:szCs w:val="20"/>
              </w:rPr>
            </w:pPr>
            <w:r w:rsidRPr="003848AB">
              <w:rPr>
                <w:rFonts w:ascii="Times New Roman" w:hAnsi="Times New Roman" w:cs="Times New Roman"/>
                <w:sz w:val="20"/>
                <w:szCs w:val="20"/>
              </w:rPr>
              <w:t>Mesure le taux de variation de la valeur de l'option par rapport à la variation du prix de l'actif sous-jacent.</w:t>
            </w:r>
          </w:p>
          <w:p w14:paraId="365DD1E3" w14:textId="77777777" w:rsidR="00754CF9" w:rsidRPr="003848AB" w:rsidRDefault="00754CF9" w:rsidP="00535385">
            <w:pPr>
              <w:spacing w:after="0"/>
              <w:jc w:val="both"/>
              <w:rPr>
                <w:rFonts w:ascii="Times New Roman" w:hAnsi="Times New Roman" w:cs="Times New Roman"/>
                <w:sz w:val="20"/>
                <w:szCs w:val="20"/>
              </w:rPr>
            </w:pPr>
          </w:p>
          <w:p w14:paraId="4849B98C" w14:textId="77777777" w:rsidR="00C44F2A" w:rsidRPr="00C20B08" w:rsidRDefault="00754CF9" w:rsidP="00535385">
            <w:pPr>
              <w:spacing w:after="0"/>
              <w:rPr>
                <w:rFonts w:ascii="Garamond" w:hAnsi="Garamond"/>
              </w:rPr>
            </w:pPr>
            <w:r w:rsidRPr="003848AB">
              <w:rPr>
                <w:rFonts w:ascii="Times New Roman" w:hAnsi="Times New Roman" w:cs="Times New Roman"/>
                <w:sz w:val="20"/>
                <w:szCs w:val="20"/>
              </w:rPr>
              <w:t>À déclarer en valeur décimale.</w:t>
            </w:r>
          </w:p>
        </w:tc>
      </w:tr>
      <w:tr w:rsidR="00C44F2A" w:rsidRPr="00C20B08" w14:paraId="2D3A9D17"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30DFBB08" w14:textId="77777777" w:rsidR="00C44F2A" w:rsidRPr="00C20B08" w:rsidRDefault="00754CF9" w:rsidP="00C44F2A">
            <w:pPr>
              <w:rPr>
                <w:rFonts w:ascii="Garamond" w:hAnsi="Garamond"/>
                <w:bCs/>
              </w:rPr>
            </w:pPr>
            <w:r w:rsidRPr="00754CF9">
              <w:rPr>
                <w:rFonts w:ascii="Garamond" w:hAnsi="Garamond"/>
                <w:bCs/>
              </w:rPr>
              <w:t>Montant notionnel du dérivé</w:t>
            </w:r>
          </w:p>
        </w:tc>
        <w:tc>
          <w:tcPr>
            <w:tcW w:w="947" w:type="dxa"/>
            <w:tcBorders>
              <w:top w:val="nil"/>
              <w:left w:val="single" w:sz="4" w:space="0" w:color="auto"/>
              <w:bottom w:val="single" w:sz="4" w:space="0" w:color="auto"/>
              <w:right w:val="single" w:sz="4" w:space="0" w:color="auto"/>
            </w:tcBorders>
            <w:shd w:val="clear" w:color="auto" w:fill="auto"/>
            <w:vAlign w:val="center"/>
          </w:tcPr>
          <w:p w14:paraId="1216E412" w14:textId="77777777" w:rsidR="00C44F2A" w:rsidRPr="00C20B08" w:rsidRDefault="00754CF9" w:rsidP="00C44F2A">
            <w:pPr>
              <w:jc w:val="center"/>
              <w:rPr>
                <w:rFonts w:ascii="Garamond" w:hAnsi="Garamond"/>
              </w:rPr>
            </w:pPr>
            <w:r>
              <w:rPr>
                <w:rFonts w:ascii="Garamond" w:hAnsi="Garamond"/>
              </w:rPr>
              <w:t>C0130</w:t>
            </w:r>
          </w:p>
        </w:tc>
        <w:tc>
          <w:tcPr>
            <w:tcW w:w="6352" w:type="dxa"/>
            <w:tcBorders>
              <w:top w:val="nil"/>
              <w:left w:val="single" w:sz="4" w:space="0" w:color="auto"/>
              <w:bottom w:val="single" w:sz="4" w:space="0" w:color="auto"/>
              <w:right w:val="single" w:sz="4" w:space="0" w:color="auto"/>
            </w:tcBorders>
          </w:tcPr>
          <w:p w14:paraId="133848EE" w14:textId="77777777" w:rsidR="00754CF9" w:rsidRDefault="00754CF9" w:rsidP="00535385">
            <w:pPr>
              <w:spacing w:after="0"/>
              <w:jc w:val="both"/>
              <w:rPr>
                <w:rFonts w:ascii="Times New Roman" w:hAnsi="Times New Roman" w:cs="Times New Roman"/>
                <w:sz w:val="20"/>
                <w:szCs w:val="20"/>
              </w:rPr>
            </w:pPr>
            <w:r w:rsidRPr="00670360">
              <w:rPr>
                <w:rFonts w:ascii="Times New Roman" w:hAnsi="Times New Roman" w:cs="Times New Roman"/>
                <w:sz w:val="20"/>
                <w:szCs w:val="20"/>
              </w:rPr>
              <w:t>Le montant couvert ou exposé au dérivé.</w:t>
            </w:r>
          </w:p>
          <w:p w14:paraId="71528363" w14:textId="77777777" w:rsidR="00754CF9" w:rsidRPr="00670360" w:rsidRDefault="00754CF9" w:rsidP="00535385">
            <w:pPr>
              <w:spacing w:after="0"/>
              <w:jc w:val="both"/>
              <w:rPr>
                <w:rFonts w:ascii="Times New Roman" w:hAnsi="Times New Roman" w:cs="Times New Roman"/>
                <w:sz w:val="20"/>
                <w:szCs w:val="20"/>
              </w:rPr>
            </w:pPr>
          </w:p>
          <w:p w14:paraId="05875E43" w14:textId="77777777" w:rsidR="00754CF9" w:rsidRDefault="00754CF9" w:rsidP="00535385">
            <w:pPr>
              <w:spacing w:after="0"/>
              <w:jc w:val="both"/>
              <w:rPr>
                <w:rFonts w:ascii="Times New Roman" w:hAnsi="Times New Roman" w:cs="Times New Roman"/>
                <w:sz w:val="20"/>
                <w:szCs w:val="20"/>
              </w:rPr>
            </w:pPr>
            <w:r w:rsidRPr="00670360">
              <w:rPr>
                <w:rFonts w:ascii="Times New Roman" w:hAnsi="Times New Roman" w:cs="Times New Roman"/>
                <w:sz w:val="20"/>
                <w:szCs w:val="20"/>
              </w:rPr>
              <w:t>Pour les contrats à terme standardisés (futures) et les options, correspond à la taille du contrat multiplié par la valeur de déclenchement et par le nombre de contrats déclarés sur cette ligne. Pour les contrats d'échange (swaps) et les contrats à terme de gré à gré (</w:t>
            </w:r>
            <w:proofErr w:type="spellStart"/>
            <w:r w:rsidRPr="00670360">
              <w:rPr>
                <w:rFonts w:ascii="Times New Roman" w:hAnsi="Times New Roman" w:cs="Times New Roman"/>
                <w:sz w:val="20"/>
                <w:szCs w:val="20"/>
              </w:rPr>
              <w:t>forwards</w:t>
            </w:r>
            <w:proofErr w:type="spellEnd"/>
            <w:r w:rsidRPr="00670360">
              <w:rPr>
                <w:rFonts w:ascii="Times New Roman" w:hAnsi="Times New Roman" w:cs="Times New Roman"/>
                <w:sz w:val="20"/>
                <w:szCs w:val="20"/>
              </w:rPr>
              <w:t>), correspond au montant contractuel des contrats déclarés sur cette ligne. Lorsque la valeur de déclenchement correspond à une fourchette, utiliser la valeur moyenne de la fourchette.</w:t>
            </w:r>
          </w:p>
          <w:p w14:paraId="3537D608" w14:textId="77777777" w:rsidR="00754CF9" w:rsidRPr="00670360" w:rsidRDefault="00754CF9" w:rsidP="00535385">
            <w:pPr>
              <w:spacing w:after="0"/>
              <w:jc w:val="both"/>
              <w:rPr>
                <w:rFonts w:ascii="Times New Roman" w:hAnsi="Times New Roman" w:cs="Times New Roman"/>
                <w:sz w:val="20"/>
                <w:szCs w:val="20"/>
              </w:rPr>
            </w:pPr>
          </w:p>
          <w:p w14:paraId="3A1AB265" w14:textId="77777777" w:rsidR="00C44F2A" w:rsidRPr="00C20B08" w:rsidRDefault="00754CF9" w:rsidP="00535385">
            <w:pPr>
              <w:spacing w:after="0"/>
              <w:rPr>
                <w:rFonts w:ascii="Garamond" w:hAnsi="Garamond"/>
              </w:rPr>
            </w:pPr>
            <w:r w:rsidRPr="00670360">
              <w:rPr>
                <w:rFonts w:ascii="Times New Roman" w:hAnsi="Times New Roman" w:cs="Times New Roman"/>
                <w:sz w:val="20"/>
                <w:szCs w:val="20"/>
              </w:rPr>
              <w:t>Le montant notionnel est le montant qui est couvert/investi (lorsqu'il ne s'agit pas de couvrir des risques). Si plusieurs échanges ont lieu, doit correspondre au montant net à la date de déclaration.</w:t>
            </w:r>
            <w:r w:rsidRPr="00C20B08" w:rsidDel="00423B2B">
              <w:rPr>
                <w:rFonts w:ascii="Garamond" w:hAnsi="Garamond"/>
                <w:b/>
              </w:rPr>
              <w:t xml:space="preserve"> </w:t>
            </w:r>
          </w:p>
        </w:tc>
      </w:tr>
      <w:tr w:rsidR="00C44F2A" w:rsidRPr="00C20B08" w14:paraId="7BCB4F66"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3CA95160" w14:textId="77777777" w:rsidR="00C44F2A" w:rsidRPr="00C20B08" w:rsidRDefault="00901FEE" w:rsidP="00C44F2A">
            <w:pPr>
              <w:rPr>
                <w:rFonts w:ascii="Garamond" w:hAnsi="Garamond"/>
                <w:bCs/>
              </w:rPr>
            </w:pPr>
            <w:r w:rsidRPr="00901FEE">
              <w:rPr>
                <w:rFonts w:ascii="Garamond" w:hAnsi="Garamond"/>
                <w:bCs/>
              </w:rPr>
              <w:t>Positions acheteur/ vendeur</w:t>
            </w:r>
            <w:r w:rsidR="00C44F2A" w:rsidRPr="00C20B08">
              <w:rPr>
                <w:rFonts w:ascii="Garamond" w:hAnsi="Garamond"/>
                <w:bCs/>
              </w:rPr>
              <w:tab/>
            </w:r>
            <w:r w:rsidR="00C44F2A" w:rsidRPr="00C20B08">
              <w:rPr>
                <w:rFonts w:ascii="Garamond" w:hAnsi="Garamond"/>
                <w:bCs/>
              </w:rPr>
              <w:tab/>
            </w:r>
          </w:p>
        </w:tc>
        <w:tc>
          <w:tcPr>
            <w:tcW w:w="947" w:type="dxa"/>
            <w:tcBorders>
              <w:top w:val="nil"/>
              <w:left w:val="single" w:sz="4" w:space="0" w:color="auto"/>
              <w:bottom w:val="single" w:sz="4" w:space="0" w:color="auto"/>
              <w:right w:val="single" w:sz="4" w:space="0" w:color="auto"/>
            </w:tcBorders>
            <w:shd w:val="clear" w:color="auto" w:fill="auto"/>
            <w:vAlign w:val="center"/>
          </w:tcPr>
          <w:p w14:paraId="46A3976E" w14:textId="77777777" w:rsidR="00C44F2A" w:rsidRPr="00C20B08" w:rsidRDefault="00901FEE" w:rsidP="00C44F2A">
            <w:pPr>
              <w:jc w:val="center"/>
              <w:rPr>
                <w:rFonts w:ascii="Garamond" w:hAnsi="Garamond"/>
              </w:rPr>
            </w:pPr>
            <w:r>
              <w:rPr>
                <w:rFonts w:ascii="Garamond" w:hAnsi="Garamond"/>
              </w:rPr>
              <w:t>C0140</w:t>
            </w:r>
          </w:p>
        </w:tc>
        <w:tc>
          <w:tcPr>
            <w:tcW w:w="6352" w:type="dxa"/>
            <w:tcBorders>
              <w:top w:val="nil"/>
              <w:left w:val="single" w:sz="4" w:space="0" w:color="auto"/>
              <w:bottom w:val="single" w:sz="4" w:space="0" w:color="auto"/>
              <w:right w:val="single" w:sz="4" w:space="0" w:color="auto"/>
            </w:tcBorders>
          </w:tcPr>
          <w:p w14:paraId="0CF542B6" w14:textId="77777777" w:rsidR="00901FEE" w:rsidRDefault="00901FEE" w:rsidP="00535385">
            <w:pPr>
              <w:spacing w:after="0"/>
              <w:jc w:val="both"/>
              <w:rPr>
                <w:rFonts w:ascii="Times New Roman" w:hAnsi="Times New Roman" w:cs="Times New Roman"/>
                <w:sz w:val="20"/>
                <w:szCs w:val="20"/>
              </w:rPr>
            </w:pPr>
            <w:r w:rsidRPr="00633073">
              <w:rPr>
                <w:rFonts w:ascii="Times New Roman" w:hAnsi="Times New Roman" w:cs="Times New Roman"/>
                <w:sz w:val="20"/>
                <w:szCs w:val="20"/>
              </w:rPr>
              <w:t>Ne concerne que les contrats à terme standardisés, les options, les dérivés de crédit et les contrats</w:t>
            </w:r>
            <w:r>
              <w:rPr>
                <w:rFonts w:ascii="Times New Roman" w:hAnsi="Times New Roman" w:cs="Times New Roman"/>
                <w:sz w:val="20"/>
                <w:szCs w:val="20"/>
              </w:rPr>
              <w:t xml:space="preserve"> d’échange (swap)</w:t>
            </w:r>
            <w:r w:rsidRPr="00633073">
              <w:rPr>
                <w:rFonts w:ascii="Times New Roman" w:hAnsi="Times New Roman" w:cs="Times New Roman"/>
                <w:sz w:val="20"/>
                <w:szCs w:val="20"/>
              </w:rPr>
              <w:t>.</w:t>
            </w:r>
          </w:p>
          <w:p w14:paraId="380CFB3D" w14:textId="77777777" w:rsidR="00901FEE" w:rsidRPr="00633073" w:rsidRDefault="00901FEE" w:rsidP="00535385">
            <w:pPr>
              <w:spacing w:after="0"/>
              <w:jc w:val="both"/>
              <w:rPr>
                <w:rFonts w:ascii="Times New Roman" w:hAnsi="Times New Roman" w:cs="Times New Roman"/>
                <w:sz w:val="20"/>
                <w:szCs w:val="20"/>
              </w:rPr>
            </w:pPr>
          </w:p>
          <w:p w14:paraId="650F12B3" w14:textId="77777777" w:rsidR="00901FEE" w:rsidRDefault="00901FEE" w:rsidP="00535385">
            <w:pPr>
              <w:spacing w:after="0"/>
              <w:jc w:val="both"/>
              <w:rPr>
                <w:rFonts w:ascii="Times New Roman" w:hAnsi="Times New Roman" w:cs="Times New Roman"/>
                <w:sz w:val="20"/>
                <w:szCs w:val="20"/>
              </w:rPr>
            </w:pPr>
            <w:r w:rsidRPr="00633073">
              <w:rPr>
                <w:rFonts w:ascii="Times New Roman" w:hAnsi="Times New Roman" w:cs="Times New Roman"/>
                <w:sz w:val="20"/>
                <w:szCs w:val="20"/>
              </w:rPr>
              <w:t>Indiquer si le contrat dérivé a été acheté ou vendu.</w:t>
            </w:r>
          </w:p>
          <w:p w14:paraId="0E4D3812" w14:textId="77777777" w:rsidR="00901FEE" w:rsidRPr="00633073" w:rsidRDefault="00901FEE" w:rsidP="00535385">
            <w:pPr>
              <w:spacing w:after="0"/>
              <w:jc w:val="both"/>
              <w:rPr>
                <w:rFonts w:ascii="Times New Roman" w:hAnsi="Times New Roman" w:cs="Times New Roman"/>
                <w:sz w:val="20"/>
                <w:szCs w:val="20"/>
              </w:rPr>
            </w:pPr>
          </w:p>
          <w:p w14:paraId="436CB240" w14:textId="77777777" w:rsidR="00901FEE" w:rsidRDefault="00901FEE" w:rsidP="00535385">
            <w:pPr>
              <w:spacing w:after="0"/>
              <w:jc w:val="both"/>
              <w:rPr>
                <w:rFonts w:ascii="Times New Roman" w:hAnsi="Times New Roman" w:cs="Times New Roman"/>
                <w:sz w:val="20"/>
                <w:szCs w:val="20"/>
              </w:rPr>
            </w:pPr>
            <w:r w:rsidRPr="00633073">
              <w:rPr>
                <w:rFonts w:ascii="Times New Roman" w:hAnsi="Times New Roman" w:cs="Times New Roman"/>
                <w:sz w:val="20"/>
                <w:szCs w:val="20"/>
              </w:rPr>
              <w:t>Pour les contrats d'échange, la position acheteur ou vendeur est définie par rapport au titre ou au montant notionnel et aux flux d'échange.</w:t>
            </w:r>
          </w:p>
          <w:p w14:paraId="3BFF256E" w14:textId="77777777" w:rsidR="00901FEE" w:rsidRPr="00633073" w:rsidRDefault="00901FEE" w:rsidP="00535385">
            <w:pPr>
              <w:spacing w:after="0"/>
              <w:jc w:val="both"/>
              <w:rPr>
                <w:rFonts w:ascii="Times New Roman" w:hAnsi="Times New Roman" w:cs="Times New Roman"/>
                <w:sz w:val="20"/>
                <w:szCs w:val="20"/>
              </w:rPr>
            </w:pPr>
          </w:p>
          <w:p w14:paraId="464BC12E" w14:textId="77777777" w:rsidR="00901FEE" w:rsidRDefault="00901FEE" w:rsidP="00535385">
            <w:pPr>
              <w:spacing w:after="0"/>
              <w:jc w:val="both"/>
              <w:rPr>
                <w:rFonts w:ascii="Times New Roman" w:hAnsi="Times New Roman" w:cs="Times New Roman"/>
                <w:sz w:val="20"/>
                <w:szCs w:val="20"/>
              </w:rPr>
            </w:pPr>
            <w:r w:rsidRPr="00633073">
              <w:rPr>
                <w:rFonts w:ascii="Times New Roman" w:hAnsi="Times New Roman" w:cs="Times New Roman"/>
                <w:sz w:val="20"/>
                <w:szCs w:val="20"/>
              </w:rPr>
              <w:t>Le vendeur d'un swap possède le titre ou le montant notionnel au début du contrat et s'engage à livrer ce titre ou ce montant notionnel, y compris, s'il y a lieu, toute autre sortie de trésorerie liée au contrat, pendant la durée de validité de celui-ci.</w:t>
            </w:r>
          </w:p>
          <w:p w14:paraId="633EE1D8" w14:textId="77777777" w:rsidR="00901FEE" w:rsidRDefault="00901FEE" w:rsidP="00535385">
            <w:pPr>
              <w:spacing w:after="0"/>
              <w:jc w:val="both"/>
              <w:rPr>
                <w:rFonts w:ascii="Times New Roman" w:hAnsi="Times New Roman" w:cs="Times New Roman"/>
                <w:sz w:val="20"/>
                <w:szCs w:val="20"/>
              </w:rPr>
            </w:pPr>
          </w:p>
          <w:p w14:paraId="7E6AF707" w14:textId="77777777" w:rsidR="00901FEE" w:rsidRDefault="00901FEE" w:rsidP="00535385">
            <w:pPr>
              <w:spacing w:after="0"/>
              <w:jc w:val="both"/>
              <w:rPr>
                <w:rFonts w:ascii="Times New Roman" w:hAnsi="Times New Roman" w:cs="Times New Roman"/>
                <w:sz w:val="20"/>
                <w:szCs w:val="20"/>
              </w:rPr>
            </w:pPr>
            <w:r w:rsidRPr="00633073">
              <w:rPr>
                <w:rFonts w:ascii="Times New Roman" w:hAnsi="Times New Roman" w:cs="Times New Roman"/>
                <w:sz w:val="20"/>
                <w:szCs w:val="20"/>
              </w:rPr>
              <w:t>L'acheteur d'un swap possèdera le titre ou le montant notionnel à l'échéance du contrat, mais recevra ce titre ou ce montant notionnel, y compris, s'il y a lieu, toute autre entrée de trésorerie liée au contrat, pendant la durée de validité de celui-ci.</w:t>
            </w:r>
          </w:p>
          <w:p w14:paraId="6893C665" w14:textId="77777777" w:rsidR="00901FEE" w:rsidRPr="00633073" w:rsidRDefault="00901FEE" w:rsidP="00535385">
            <w:pPr>
              <w:spacing w:after="0"/>
              <w:jc w:val="both"/>
              <w:rPr>
                <w:rFonts w:ascii="Times New Roman" w:hAnsi="Times New Roman" w:cs="Times New Roman"/>
                <w:sz w:val="20"/>
                <w:szCs w:val="20"/>
              </w:rPr>
            </w:pPr>
          </w:p>
          <w:p w14:paraId="082EFE77" w14:textId="77777777" w:rsidR="00901FEE" w:rsidRDefault="00901FEE" w:rsidP="00535385">
            <w:pPr>
              <w:spacing w:after="0"/>
              <w:jc w:val="both"/>
              <w:rPr>
                <w:rFonts w:ascii="Times New Roman" w:hAnsi="Times New Roman" w:cs="Times New Roman"/>
                <w:sz w:val="20"/>
                <w:szCs w:val="20"/>
              </w:rPr>
            </w:pPr>
            <w:r w:rsidRPr="00633073">
              <w:rPr>
                <w:rFonts w:ascii="Times New Roman" w:hAnsi="Times New Roman" w:cs="Times New Roman"/>
                <w:sz w:val="20"/>
                <w:szCs w:val="20"/>
              </w:rPr>
              <w:t>Choisir impérativement l'une des options suivantes, excepté pour les swaps de taux d'intérêt:</w:t>
            </w:r>
          </w:p>
          <w:p w14:paraId="0DE4D2AE" w14:textId="77777777" w:rsidR="00901FEE" w:rsidRPr="00633073" w:rsidRDefault="00901FEE" w:rsidP="00535385">
            <w:pPr>
              <w:spacing w:after="0"/>
              <w:jc w:val="both"/>
              <w:rPr>
                <w:rFonts w:ascii="Times New Roman" w:hAnsi="Times New Roman" w:cs="Times New Roman"/>
                <w:sz w:val="20"/>
                <w:szCs w:val="20"/>
              </w:rPr>
            </w:pPr>
          </w:p>
          <w:p w14:paraId="1E732093" w14:textId="77777777" w:rsidR="00901FEE" w:rsidRPr="00633073" w:rsidRDefault="00901FEE" w:rsidP="00535385">
            <w:pPr>
              <w:spacing w:after="0"/>
              <w:jc w:val="both"/>
              <w:rPr>
                <w:rFonts w:ascii="Times New Roman" w:hAnsi="Times New Roman" w:cs="Times New Roman"/>
                <w:sz w:val="20"/>
                <w:szCs w:val="20"/>
              </w:rPr>
            </w:pPr>
            <w:r w:rsidRPr="00633073">
              <w:rPr>
                <w:rFonts w:ascii="Times New Roman" w:hAnsi="Times New Roman" w:cs="Times New Roman"/>
                <w:sz w:val="20"/>
                <w:szCs w:val="20"/>
              </w:rPr>
              <w:t>1</w:t>
            </w:r>
            <w:r>
              <w:rPr>
                <w:rFonts w:ascii="Times New Roman" w:hAnsi="Times New Roman" w:cs="Times New Roman"/>
                <w:sz w:val="20"/>
                <w:szCs w:val="20"/>
              </w:rPr>
              <w:t xml:space="preserve"> - </w:t>
            </w:r>
            <w:r w:rsidRPr="00633073">
              <w:rPr>
                <w:rFonts w:ascii="Times New Roman" w:hAnsi="Times New Roman" w:cs="Times New Roman"/>
                <w:sz w:val="20"/>
                <w:szCs w:val="20"/>
              </w:rPr>
              <w:t>Position acheteur</w:t>
            </w:r>
          </w:p>
          <w:p w14:paraId="41B56631" w14:textId="77777777" w:rsidR="00901FEE" w:rsidRDefault="00901FEE" w:rsidP="00535385">
            <w:pPr>
              <w:spacing w:after="0"/>
              <w:jc w:val="both"/>
              <w:rPr>
                <w:rFonts w:ascii="Times New Roman" w:hAnsi="Times New Roman" w:cs="Times New Roman"/>
                <w:sz w:val="20"/>
                <w:szCs w:val="20"/>
              </w:rPr>
            </w:pPr>
            <w:r w:rsidRPr="00633073">
              <w:rPr>
                <w:rFonts w:ascii="Times New Roman" w:hAnsi="Times New Roman" w:cs="Times New Roman"/>
                <w:sz w:val="20"/>
                <w:szCs w:val="20"/>
              </w:rPr>
              <w:t>2</w:t>
            </w:r>
            <w:r>
              <w:rPr>
                <w:rFonts w:ascii="Times New Roman" w:hAnsi="Times New Roman" w:cs="Times New Roman"/>
                <w:sz w:val="20"/>
                <w:szCs w:val="20"/>
              </w:rPr>
              <w:t xml:space="preserve"> - </w:t>
            </w:r>
            <w:r w:rsidRPr="00633073">
              <w:rPr>
                <w:rFonts w:ascii="Times New Roman" w:hAnsi="Times New Roman" w:cs="Times New Roman"/>
                <w:sz w:val="20"/>
                <w:szCs w:val="20"/>
              </w:rPr>
              <w:t>Position vendeur</w:t>
            </w:r>
          </w:p>
          <w:p w14:paraId="671E47E1" w14:textId="77777777" w:rsidR="00901FEE" w:rsidRPr="00633073" w:rsidRDefault="00901FEE" w:rsidP="00535385">
            <w:pPr>
              <w:spacing w:after="0"/>
              <w:jc w:val="both"/>
              <w:rPr>
                <w:rFonts w:ascii="Times New Roman" w:hAnsi="Times New Roman" w:cs="Times New Roman"/>
                <w:sz w:val="20"/>
                <w:szCs w:val="20"/>
              </w:rPr>
            </w:pPr>
          </w:p>
          <w:p w14:paraId="0FB87A07" w14:textId="77777777" w:rsidR="00901FEE" w:rsidRDefault="00901FEE" w:rsidP="00535385">
            <w:pPr>
              <w:spacing w:after="0"/>
              <w:jc w:val="both"/>
              <w:rPr>
                <w:rFonts w:ascii="Times New Roman" w:hAnsi="Times New Roman" w:cs="Times New Roman"/>
                <w:sz w:val="20"/>
                <w:szCs w:val="20"/>
              </w:rPr>
            </w:pPr>
            <w:r w:rsidRPr="00633073">
              <w:rPr>
                <w:rFonts w:ascii="Times New Roman" w:hAnsi="Times New Roman" w:cs="Times New Roman"/>
                <w:sz w:val="20"/>
                <w:szCs w:val="20"/>
              </w:rPr>
              <w:t>Pour les swaps de taux d'intérêt, choisir impérativement l'une des options suivantes:</w:t>
            </w:r>
          </w:p>
          <w:p w14:paraId="332E189D" w14:textId="77777777" w:rsidR="00901FEE" w:rsidRPr="00633073" w:rsidRDefault="00901FEE" w:rsidP="00535385">
            <w:pPr>
              <w:spacing w:after="0"/>
              <w:jc w:val="both"/>
              <w:rPr>
                <w:rFonts w:ascii="Times New Roman" w:hAnsi="Times New Roman" w:cs="Times New Roman"/>
                <w:sz w:val="20"/>
                <w:szCs w:val="20"/>
              </w:rPr>
            </w:pPr>
          </w:p>
          <w:p w14:paraId="0A73101C" w14:textId="77777777" w:rsidR="00901FEE" w:rsidRPr="00633073" w:rsidRDefault="00901FEE" w:rsidP="00535385">
            <w:pPr>
              <w:spacing w:after="0"/>
              <w:jc w:val="both"/>
              <w:rPr>
                <w:rFonts w:ascii="Times New Roman" w:hAnsi="Times New Roman" w:cs="Times New Roman"/>
                <w:sz w:val="20"/>
                <w:szCs w:val="20"/>
              </w:rPr>
            </w:pPr>
            <w:r w:rsidRPr="00633073">
              <w:rPr>
                <w:rFonts w:ascii="Times New Roman" w:hAnsi="Times New Roman" w:cs="Times New Roman"/>
                <w:sz w:val="20"/>
                <w:szCs w:val="20"/>
              </w:rPr>
              <w:t>3</w:t>
            </w:r>
            <w:r>
              <w:rPr>
                <w:rFonts w:ascii="Times New Roman" w:hAnsi="Times New Roman" w:cs="Times New Roman"/>
                <w:sz w:val="20"/>
                <w:szCs w:val="20"/>
              </w:rPr>
              <w:t xml:space="preserve"> - </w:t>
            </w:r>
            <w:r w:rsidRPr="00633073">
              <w:rPr>
                <w:rFonts w:ascii="Times New Roman" w:hAnsi="Times New Roman" w:cs="Times New Roman"/>
                <w:sz w:val="20"/>
                <w:szCs w:val="20"/>
              </w:rPr>
              <w:t>FX–FL: Fixe contre variable</w:t>
            </w:r>
          </w:p>
          <w:p w14:paraId="7B3DCA2D" w14:textId="77777777" w:rsidR="00901FEE" w:rsidRPr="00633073" w:rsidRDefault="00901FEE" w:rsidP="00535385">
            <w:pPr>
              <w:spacing w:after="0"/>
              <w:jc w:val="both"/>
              <w:rPr>
                <w:rFonts w:ascii="Times New Roman" w:hAnsi="Times New Roman" w:cs="Times New Roman"/>
                <w:sz w:val="20"/>
                <w:szCs w:val="20"/>
              </w:rPr>
            </w:pPr>
            <w:r w:rsidRPr="00633073">
              <w:rPr>
                <w:rFonts w:ascii="Times New Roman" w:hAnsi="Times New Roman" w:cs="Times New Roman"/>
                <w:sz w:val="20"/>
                <w:szCs w:val="20"/>
              </w:rPr>
              <w:t>4</w:t>
            </w:r>
            <w:r>
              <w:rPr>
                <w:rFonts w:ascii="Times New Roman" w:hAnsi="Times New Roman" w:cs="Times New Roman"/>
                <w:sz w:val="20"/>
                <w:szCs w:val="20"/>
              </w:rPr>
              <w:t xml:space="preserve"> - </w:t>
            </w:r>
            <w:r w:rsidRPr="00633073">
              <w:rPr>
                <w:rFonts w:ascii="Times New Roman" w:hAnsi="Times New Roman" w:cs="Times New Roman"/>
                <w:sz w:val="20"/>
                <w:szCs w:val="20"/>
              </w:rPr>
              <w:t>FX–FX: Fixe contre fixe</w:t>
            </w:r>
          </w:p>
          <w:p w14:paraId="0C820F8B" w14:textId="77777777" w:rsidR="00901FEE" w:rsidRPr="00633073" w:rsidRDefault="00901FEE" w:rsidP="00535385">
            <w:pPr>
              <w:spacing w:after="0"/>
              <w:jc w:val="both"/>
              <w:rPr>
                <w:rFonts w:ascii="Times New Roman" w:hAnsi="Times New Roman" w:cs="Times New Roman"/>
                <w:sz w:val="20"/>
                <w:szCs w:val="20"/>
              </w:rPr>
            </w:pPr>
            <w:r w:rsidRPr="00633073">
              <w:rPr>
                <w:rFonts w:ascii="Times New Roman" w:hAnsi="Times New Roman" w:cs="Times New Roman"/>
                <w:sz w:val="20"/>
                <w:szCs w:val="20"/>
              </w:rPr>
              <w:t>5</w:t>
            </w:r>
            <w:r>
              <w:rPr>
                <w:rFonts w:ascii="Times New Roman" w:hAnsi="Times New Roman" w:cs="Times New Roman"/>
                <w:sz w:val="20"/>
                <w:szCs w:val="20"/>
              </w:rPr>
              <w:t xml:space="preserve"> - </w:t>
            </w:r>
            <w:r w:rsidRPr="00633073">
              <w:rPr>
                <w:rFonts w:ascii="Times New Roman" w:hAnsi="Times New Roman" w:cs="Times New Roman"/>
                <w:sz w:val="20"/>
                <w:szCs w:val="20"/>
              </w:rPr>
              <w:t>FL–FX: Variable contre fixe</w:t>
            </w:r>
          </w:p>
          <w:p w14:paraId="749B1040" w14:textId="77777777" w:rsidR="00C44F2A" w:rsidRPr="00C20B08" w:rsidRDefault="00901FEE" w:rsidP="00535385">
            <w:pPr>
              <w:spacing w:after="0"/>
              <w:rPr>
                <w:rFonts w:ascii="Garamond" w:hAnsi="Garamond"/>
              </w:rPr>
            </w:pPr>
            <w:r w:rsidRPr="00633073">
              <w:rPr>
                <w:rFonts w:ascii="Times New Roman" w:hAnsi="Times New Roman" w:cs="Times New Roman"/>
                <w:sz w:val="20"/>
                <w:szCs w:val="20"/>
              </w:rPr>
              <w:t>6</w:t>
            </w:r>
            <w:r>
              <w:rPr>
                <w:rFonts w:ascii="Times New Roman" w:hAnsi="Times New Roman" w:cs="Times New Roman"/>
                <w:sz w:val="20"/>
                <w:szCs w:val="20"/>
              </w:rPr>
              <w:t xml:space="preserve"> - </w:t>
            </w:r>
            <w:r w:rsidRPr="00633073">
              <w:rPr>
                <w:rFonts w:ascii="Times New Roman" w:hAnsi="Times New Roman" w:cs="Times New Roman"/>
                <w:sz w:val="20"/>
                <w:szCs w:val="20"/>
              </w:rPr>
              <w:t>FL–FL: Variable contre variable</w:t>
            </w:r>
          </w:p>
        </w:tc>
      </w:tr>
      <w:tr w:rsidR="00C44F2A" w:rsidRPr="006347C7" w14:paraId="35B46D40"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41B1E87A" w14:textId="77777777" w:rsidR="00C44F2A" w:rsidRPr="00C20B08" w:rsidRDefault="0030282E" w:rsidP="00C44F2A">
            <w:pPr>
              <w:rPr>
                <w:rFonts w:ascii="Garamond" w:hAnsi="Garamond"/>
                <w:bCs/>
              </w:rPr>
            </w:pPr>
            <w:r w:rsidRPr="0030282E">
              <w:rPr>
                <w:rFonts w:ascii="Garamond" w:hAnsi="Garamond"/>
                <w:bCs/>
              </w:rPr>
              <w:t>Prime versée à ce jour</w:t>
            </w:r>
          </w:p>
        </w:tc>
        <w:tc>
          <w:tcPr>
            <w:tcW w:w="947" w:type="dxa"/>
            <w:tcBorders>
              <w:top w:val="nil"/>
              <w:left w:val="single" w:sz="4" w:space="0" w:color="auto"/>
              <w:bottom w:val="single" w:sz="4" w:space="0" w:color="auto"/>
              <w:right w:val="single" w:sz="4" w:space="0" w:color="auto"/>
            </w:tcBorders>
            <w:shd w:val="clear" w:color="auto" w:fill="auto"/>
            <w:vAlign w:val="center"/>
          </w:tcPr>
          <w:p w14:paraId="613063DD" w14:textId="77777777" w:rsidR="00C44F2A" w:rsidRPr="00C20B08" w:rsidRDefault="0030282E" w:rsidP="00C44F2A">
            <w:pPr>
              <w:jc w:val="center"/>
              <w:rPr>
                <w:rFonts w:ascii="Garamond" w:hAnsi="Garamond"/>
              </w:rPr>
            </w:pPr>
            <w:r>
              <w:rPr>
                <w:rFonts w:ascii="Garamond" w:hAnsi="Garamond"/>
              </w:rPr>
              <w:t>C0150</w:t>
            </w:r>
            <w:r w:rsidR="00C44F2A" w:rsidRPr="00C20B08">
              <w:rPr>
                <w:rFonts w:ascii="Garamond" w:hAnsi="Garamond"/>
              </w:rPr>
              <w:tab/>
            </w:r>
          </w:p>
        </w:tc>
        <w:tc>
          <w:tcPr>
            <w:tcW w:w="6352" w:type="dxa"/>
            <w:tcBorders>
              <w:top w:val="nil"/>
              <w:left w:val="single" w:sz="4" w:space="0" w:color="auto"/>
              <w:bottom w:val="single" w:sz="4" w:space="0" w:color="auto"/>
              <w:right w:val="single" w:sz="4" w:space="0" w:color="auto"/>
            </w:tcBorders>
          </w:tcPr>
          <w:p w14:paraId="1874036F" w14:textId="77777777" w:rsidR="00C44F2A" w:rsidRPr="00535385" w:rsidRDefault="0030282E" w:rsidP="006347C7">
            <w:pPr>
              <w:rPr>
                <w:rFonts w:ascii="Garamond" w:hAnsi="Garamond"/>
                <w:i/>
              </w:rPr>
            </w:pPr>
            <w:r w:rsidRPr="000077D2">
              <w:rPr>
                <w:rFonts w:ascii="Times New Roman" w:hAnsi="Times New Roman" w:cs="Times New Roman"/>
                <w:sz w:val="20"/>
                <w:szCs w:val="20"/>
              </w:rPr>
              <w:t>Le paiement effectué pour des options et les montants de prime initiale et périodique payés pour des contrats d'échange depuis le moment où l'entreprise a conclu le contrat dérivé (en cas d'achat).</w:t>
            </w:r>
          </w:p>
        </w:tc>
      </w:tr>
      <w:tr w:rsidR="00C44F2A" w:rsidRPr="00F05FE9" w14:paraId="704CA96C"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65D0055E" w14:textId="77777777" w:rsidR="00C44F2A" w:rsidRPr="00535385" w:rsidRDefault="005271EE" w:rsidP="00C44F2A">
            <w:pPr>
              <w:rPr>
                <w:rFonts w:ascii="Garamond" w:hAnsi="Garamond"/>
                <w:bCs/>
              </w:rPr>
            </w:pPr>
            <w:r w:rsidRPr="00535385">
              <w:rPr>
                <w:rFonts w:ascii="Garamond" w:hAnsi="Garamond"/>
                <w:bCs/>
              </w:rPr>
              <w:t>Prime reçue à ce jour</w:t>
            </w:r>
          </w:p>
        </w:tc>
        <w:tc>
          <w:tcPr>
            <w:tcW w:w="947" w:type="dxa"/>
            <w:tcBorders>
              <w:top w:val="nil"/>
              <w:left w:val="single" w:sz="4" w:space="0" w:color="auto"/>
              <w:bottom w:val="single" w:sz="4" w:space="0" w:color="auto"/>
              <w:right w:val="single" w:sz="4" w:space="0" w:color="auto"/>
            </w:tcBorders>
            <w:shd w:val="clear" w:color="auto" w:fill="auto"/>
            <w:vAlign w:val="center"/>
          </w:tcPr>
          <w:p w14:paraId="786ACE2C" w14:textId="77777777" w:rsidR="00C44F2A" w:rsidRPr="00C20B08" w:rsidRDefault="005271EE" w:rsidP="00C44F2A">
            <w:pPr>
              <w:jc w:val="center"/>
              <w:rPr>
                <w:rFonts w:ascii="Garamond" w:hAnsi="Garamond"/>
              </w:rPr>
            </w:pPr>
            <w:r>
              <w:rPr>
                <w:rFonts w:ascii="Garamond" w:hAnsi="Garamond"/>
              </w:rPr>
              <w:t>C0160</w:t>
            </w:r>
          </w:p>
        </w:tc>
        <w:tc>
          <w:tcPr>
            <w:tcW w:w="6352" w:type="dxa"/>
            <w:tcBorders>
              <w:top w:val="nil"/>
              <w:left w:val="single" w:sz="4" w:space="0" w:color="auto"/>
              <w:bottom w:val="single" w:sz="4" w:space="0" w:color="auto"/>
              <w:right w:val="single" w:sz="4" w:space="0" w:color="auto"/>
            </w:tcBorders>
          </w:tcPr>
          <w:p w14:paraId="347464D2" w14:textId="77777777" w:rsidR="00C44F2A" w:rsidRPr="00535385" w:rsidRDefault="005271EE" w:rsidP="00FC1C80">
            <w:pPr>
              <w:rPr>
                <w:rFonts w:ascii="Garamond" w:hAnsi="Garamond"/>
                <w:i/>
              </w:rPr>
            </w:pPr>
            <w:r w:rsidRPr="00F243F1">
              <w:rPr>
                <w:rFonts w:ascii="Times New Roman" w:hAnsi="Times New Roman" w:cs="Times New Roman"/>
                <w:sz w:val="20"/>
                <w:szCs w:val="20"/>
              </w:rPr>
              <w:t>Le paiement reçu pour des options et les montants de prime initiale et périodique reçus pour des contrats d'échange depuis le moment où l'entreprise a conclu le contrat dérivé (en cas de vente).</w:t>
            </w:r>
          </w:p>
        </w:tc>
      </w:tr>
      <w:tr w:rsidR="005271EE" w:rsidRPr="00C20B08" w14:paraId="3A44A6E0"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480C8BF8" w14:textId="77777777" w:rsidR="005271EE" w:rsidRPr="00C20B08" w:rsidRDefault="005271EE" w:rsidP="005271EE">
            <w:pPr>
              <w:rPr>
                <w:rFonts w:ascii="Garamond" w:hAnsi="Garamond"/>
                <w:bCs/>
              </w:rPr>
            </w:pPr>
            <w:r>
              <w:rPr>
                <w:rFonts w:ascii="Garamond" w:hAnsi="Garamond"/>
                <w:bCs/>
              </w:rPr>
              <w:t>Nombre de contrats</w:t>
            </w:r>
          </w:p>
        </w:tc>
        <w:tc>
          <w:tcPr>
            <w:tcW w:w="947" w:type="dxa"/>
            <w:tcBorders>
              <w:top w:val="nil"/>
              <w:left w:val="single" w:sz="4" w:space="0" w:color="auto"/>
              <w:bottom w:val="single" w:sz="4" w:space="0" w:color="auto"/>
              <w:right w:val="single" w:sz="4" w:space="0" w:color="auto"/>
            </w:tcBorders>
            <w:shd w:val="clear" w:color="auto" w:fill="auto"/>
            <w:vAlign w:val="center"/>
          </w:tcPr>
          <w:p w14:paraId="24628D20" w14:textId="77777777" w:rsidR="005271EE" w:rsidRPr="00C20B08" w:rsidRDefault="005271EE" w:rsidP="005271EE">
            <w:pPr>
              <w:jc w:val="center"/>
              <w:rPr>
                <w:rFonts w:ascii="Garamond" w:hAnsi="Garamond"/>
              </w:rPr>
            </w:pPr>
            <w:r>
              <w:rPr>
                <w:rFonts w:ascii="Garamond" w:hAnsi="Garamond"/>
              </w:rPr>
              <w:t>C0170</w:t>
            </w:r>
          </w:p>
        </w:tc>
        <w:tc>
          <w:tcPr>
            <w:tcW w:w="6352" w:type="dxa"/>
            <w:tcBorders>
              <w:top w:val="nil"/>
              <w:left w:val="single" w:sz="4" w:space="0" w:color="auto"/>
              <w:bottom w:val="single" w:sz="4" w:space="0" w:color="auto"/>
              <w:right w:val="single" w:sz="4" w:space="0" w:color="auto"/>
            </w:tcBorders>
          </w:tcPr>
          <w:p w14:paraId="73CCCAE8" w14:textId="77777777" w:rsidR="005271EE" w:rsidRDefault="005271EE" w:rsidP="00535385">
            <w:pPr>
              <w:spacing w:after="0"/>
              <w:jc w:val="both"/>
              <w:rPr>
                <w:rFonts w:ascii="Times New Roman" w:hAnsi="Times New Roman" w:cs="Times New Roman"/>
                <w:sz w:val="20"/>
                <w:szCs w:val="20"/>
              </w:rPr>
            </w:pPr>
            <w:r w:rsidRPr="00F243F1">
              <w:rPr>
                <w:rFonts w:ascii="Times New Roman" w:hAnsi="Times New Roman" w:cs="Times New Roman"/>
                <w:sz w:val="20"/>
                <w:szCs w:val="20"/>
              </w:rPr>
              <w:t>Nombre de contrats dérivés similaires déclarés sur la même ligne. Doit correspondre au nombre de contrats conclus. Pour les contrats dérivés de gré à gré, déclarer, par exemple, «</w:t>
            </w:r>
            <w:proofErr w:type="gramStart"/>
            <w:r w:rsidRPr="00F243F1">
              <w:rPr>
                <w:rFonts w:ascii="Times New Roman" w:hAnsi="Times New Roman" w:cs="Times New Roman"/>
                <w:sz w:val="20"/>
                <w:szCs w:val="20"/>
              </w:rPr>
              <w:t>1»</w:t>
            </w:r>
            <w:proofErr w:type="gramEnd"/>
            <w:r w:rsidRPr="00F243F1">
              <w:rPr>
                <w:rFonts w:ascii="Times New Roman" w:hAnsi="Times New Roman" w:cs="Times New Roman"/>
                <w:sz w:val="20"/>
                <w:szCs w:val="20"/>
              </w:rPr>
              <w:t xml:space="preserve"> pour un contrat d'échange ou «10» pour dix contrats d'échange présentant les mêmes caractéristiques.</w:t>
            </w:r>
          </w:p>
          <w:p w14:paraId="12910EA9" w14:textId="77777777" w:rsidR="005271EE" w:rsidRPr="00F243F1" w:rsidRDefault="005271EE" w:rsidP="00535385">
            <w:pPr>
              <w:spacing w:after="0"/>
              <w:jc w:val="both"/>
              <w:rPr>
                <w:rFonts w:ascii="Times New Roman" w:hAnsi="Times New Roman" w:cs="Times New Roman"/>
                <w:sz w:val="20"/>
                <w:szCs w:val="20"/>
              </w:rPr>
            </w:pPr>
          </w:p>
          <w:p w14:paraId="61EC1DEB" w14:textId="77777777" w:rsidR="005271EE" w:rsidRPr="00535385" w:rsidRDefault="005271EE" w:rsidP="00535385">
            <w:pPr>
              <w:spacing w:after="0"/>
              <w:jc w:val="both"/>
              <w:rPr>
                <w:rFonts w:ascii="Times New Roman" w:hAnsi="Times New Roman" w:cs="Times New Roman"/>
                <w:sz w:val="20"/>
                <w:szCs w:val="20"/>
              </w:rPr>
            </w:pPr>
            <w:r w:rsidRPr="00F243F1">
              <w:rPr>
                <w:rFonts w:ascii="Times New Roman" w:hAnsi="Times New Roman" w:cs="Times New Roman"/>
                <w:sz w:val="20"/>
                <w:szCs w:val="20"/>
              </w:rPr>
              <w:t>Le nombre de contrats doit être celui des contrats en cours à la date de déclaration.</w:t>
            </w:r>
          </w:p>
        </w:tc>
      </w:tr>
      <w:tr w:rsidR="005271EE" w:rsidRPr="00C20B08" w14:paraId="023CE8E0"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76C2A56E" w14:textId="77777777" w:rsidR="005271EE" w:rsidRPr="00C20B08" w:rsidRDefault="005271EE" w:rsidP="005271EE">
            <w:pPr>
              <w:rPr>
                <w:rFonts w:ascii="Garamond" w:hAnsi="Garamond"/>
                <w:bCs/>
              </w:rPr>
            </w:pPr>
            <w:r>
              <w:rPr>
                <w:rFonts w:ascii="Garamond" w:hAnsi="Garamond"/>
                <w:bCs/>
              </w:rPr>
              <w:t>Taille du contrat</w:t>
            </w:r>
          </w:p>
        </w:tc>
        <w:tc>
          <w:tcPr>
            <w:tcW w:w="947" w:type="dxa"/>
            <w:tcBorders>
              <w:top w:val="nil"/>
              <w:left w:val="single" w:sz="4" w:space="0" w:color="auto"/>
              <w:bottom w:val="single" w:sz="4" w:space="0" w:color="auto"/>
              <w:right w:val="single" w:sz="4" w:space="0" w:color="auto"/>
            </w:tcBorders>
            <w:shd w:val="clear" w:color="auto" w:fill="auto"/>
            <w:vAlign w:val="center"/>
          </w:tcPr>
          <w:p w14:paraId="245166CC" w14:textId="77777777" w:rsidR="005271EE" w:rsidRPr="00C20B08" w:rsidRDefault="005271EE" w:rsidP="005271EE">
            <w:pPr>
              <w:jc w:val="center"/>
              <w:rPr>
                <w:rFonts w:ascii="Garamond" w:hAnsi="Garamond"/>
              </w:rPr>
            </w:pPr>
            <w:r>
              <w:rPr>
                <w:rFonts w:ascii="Garamond" w:hAnsi="Garamond"/>
              </w:rPr>
              <w:t>C0180</w:t>
            </w:r>
          </w:p>
        </w:tc>
        <w:tc>
          <w:tcPr>
            <w:tcW w:w="6352" w:type="dxa"/>
            <w:tcBorders>
              <w:top w:val="nil"/>
              <w:left w:val="single" w:sz="4" w:space="0" w:color="auto"/>
              <w:bottom w:val="single" w:sz="4" w:space="0" w:color="auto"/>
              <w:right w:val="single" w:sz="4" w:space="0" w:color="auto"/>
            </w:tcBorders>
          </w:tcPr>
          <w:p w14:paraId="61E16112" w14:textId="77777777" w:rsidR="005271EE" w:rsidRDefault="005271EE" w:rsidP="00535385">
            <w:pPr>
              <w:spacing w:after="0"/>
              <w:jc w:val="both"/>
              <w:rPr>
                <w:rFonts w:ascii="Times New Roman" w:hAnsi="Times New Roman" w:cs="Times New Roman"/>
                <w:sz w:val="20"/>
                <w:szCs w:val="20"/>
              </w:rPr>
            </w:pPr>
            <w:r w:rsidRPr="00F243F1">
              <w:rPr>
                <w:rFonts w:ascii="Times New Roman" w:hAnsi="Times New Roman" w:cs="Times New Roman"/>
                <w:sz w:val="20"/>
                <w:szCs w:val="20"/>
              </w:rPr>
              <w:t>Nombre d'actifs sous-jacents au contrat; par exemple, pour les contrats à terme standardisés sur actions (</w:t>
            </w:r>
            <w:proofErr w:type="spellStart"/>
            <w:r w:rsidRPr="00F243F1">
              <w:rPr>
                <w:rFonts w:ascii="Times New Roman" w:hAnsi="Times New Roman" w:cs="Times New Roman"/>
                <w:sz w:val="20"/>
                <w:szCs w:val="20"/>
              </w:rPr>
              <w:t>equity</w:t>
            </w:r>
            <w:proofErr w:type="spellEnd"/>
            <w:r w:rsidRPr="00F243F1">
              <w:rPr>
                <w:rFonts w:ascii="Times New Roman" w:hAnsi="Times New Roman" w:cs="Times New Roman"/>
                <w:sz w:val="20"/>
                <w:szCs w:val="20"/>
              </w:rPr>
              <w:t xml:space="preserve"> futures), correspond au nombre d'actions à livrer par contrat dérivé à l'échéance et, pour les contrats à terme standardisés sur obligations (bond futures), au montant de référence sous-jacent à chaque contrat.</w:t>
            </w:r>
          </w:p>
          <w:p w14:paraId="1E55DBE3" w14:textId="77777777" w:rsidR="005271EE" w:rsidRPr="00F243F1" w:rsidRDefault="005271EE" w:rsidP="00535385">
            <w:pPr>
              <w:spacing w:after="0"/>
              <w:jc w:val="both"/>
              <w:rPr>
                <w:rFonts w:ascii="Times New Roman" w:hAnsi="Times New Roman" w:cs="Times New Roman"/>
                <w:sz w:val="20"/>
                <w:szCs w:val="20"/>
              </w:rPr>
            </w:pPr>
          </w:p>
          <w:p w14:paraId="5EE15FF7" w14:textId="77777777" w:rsidR="005271EE" w:rsidRDefault="005271EE" w:rsidP="00535385">
            <w:pPr>
              <w:spacing w:after="0"/>
              <w:jc w:val="both"/>
              <w:rPr>
                <w:rFonts w:ascii="Times New Roman" w:hAnsi="Times New Roman" w:cs="Times New Roman"/>
                <w:sz w:val="20"/>
                <w:szCs w:val="20"/>
              </w:rPr>
            </w:pPr>
            <w:r w:rsidRPr="00F243F1">
              <w:rPr>
                <w:rFonts w:ascii="Times New Roman" w:hAnsi="Times New Roman" w:cs="Times New Roman"/>
                <w:sz w:val="20"/>
                <w:szCs w:val="20"/>
              </w:rPr>
              <w:t>La manière dont la taille du contrat est définie varie en fonction du type d'instrument. Pour les contrats à terme standardisés sur actions, il est commun de définir la taille du contrat en fonction du nombre d'actions sous-jacentes au contrat.</w:t>
            </w:r>
          </w:p>
          <w:p w14:paraId="072B7208" w14:textId="77777777" w:rsidR="005271EE" w:rsidRPr="00F243F1" w:rsidRDefault="005271EE" w:rsidP="00535385">
            <w:pPr>
              <w:spacing w:after="0"/>
              <w:jc w:val="both"/>
              <w:rPr>
                <w:rFonts w:ascii="Times New Roman" w:hAnsi="Times New Roman" w:cs="Times New Roman"/>
                <w:sz w:val="20"/>
                <w:szCs w:val="20"/>
              </w:rPr>
            </w:pPr>
          </w:p>
          <w:p w14:paraId="28C25494" w14:textId="77777777" w:rsidR="005271EE" w:rsidRDefault="005271EE" w:rsidP="00535385">
            <w:pPr>
              <w:spacing w:after="0"/>
              <w:jc w:val="both"/>
              <w:rPr>
                <w:rFonts w:ascii="Times New Roman" w:hAnsi="Times New Roman" w:cs="Times New Roman"/>
                <w:sz w:val="20"/>
                <w:szCs w:val="20"/>
              </w:rPr>
            </w:pPr>
            <w:r w:rsidRPr="00F243F1">
              <w:rPr>
                <w:rFonts w:ascii="Times New Roman" w:hAnsi="Times New Roman" w:cs="Times New Roman"/>
                <w:sz w:val="20"/>
                <w:szCs w:val="20"/>
              </w:rPr>
              <w:t>Pour les contrats à terme standardisés sur obligations,</w:t>
            </w:r>
            <w:r>
              <w:rPr>
                <w:rFonts w:ascii="Times New Roman" w:hAnsi="Times New Roman" w:cs="Times New Roman"/>
                <w:sz w:val="20"/>
                <w:szCs w:val="20"/>
              </w:rPr>
              <w:t xml:space="preserve"> </w:t>
            </w:r>
            <w:r w:rsidRPr="00F243F1">
              <w:rPr>
                <w:rFonts w:ascii="Times New Roman" w:hAnsi="Times New Roman" w:cs="Times New Roman"/>
                <w:sz w:val="20"/>
                <w:szCs w:val="20"/>
              </w:rPr>
              <w:t>c'est le montant obligataire nominal qui est déterminant.</w:t>
            </w:r>
          </w:p>
          <w:p w14:paraId="42338A08" w14:textId="77777777" w:rsidR="005271EE" w:rsidRPr="00F243F1" w:rsidRDefault="005271EE" w:rsidP="00535385">
            <w:pPr>
              <w:spacing w:after="0"/>
              <w:jc w:val="both"/>
              <w:rPr>
                <w:rFonts w:ascii="Times New Roman" w:hAnsi="Times New Roman" w:cs="Times New Roman"/>
                <w:sz w:val="20"/>
                <w:szCs w:val="20"/>
              </w:rPr>
            </w:pPr>
          </w:p>
          <w:p w14:paraId="4E432DB2" w14:textId="77777777" w:rsidR="005271EE" w:rsidRPr="00535385" w:rsidRDefault="005271EE" w:rsidP="00535385">
            <w:pPr>
              <w:spacing w:after="0"/>
              <w:jc w:val="both"/>
              <w:rPr>
                <w:rFonts w:ascii="Times New Roman" w:hAnsi="Times New Roman" w:cs="Times New Roman"/>
                <w:sz w:val="20"/>
                <w:szCs w:val="20"/>
              </w:rPr>
            </w:pPr>
            <w:r w:rsidRPr="00F243F1">
              <w:rPr>
                <w:rFonts w:ascii="Times New Roman" w:hAnsi="Times New Roman" w:cs="Times New Roman"/>
                <w:sz w:val="20"/>
                <w:szCs w:val="20"/>
              </w:rPr>
              <w:t>Ne concerne que les contrats à terme standardisés et les options.</w:t>
            </w:r>
          </w:p>
        </w:tc>
      </w:tr>
      <w:tr w:rsidR="005F47B8" w:rsidRPr="00C20B08" w14:paraId="5454FDAD"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75BE795E" w14:textId="77777777" w:rsidR="005F47B8" w:rsidRPr="00C20B08" w:rsidRDefault="005F47B8" w:rsidP="005F47B8">
            <w:pPr>
              <w:rPr>
                <w:rFonts w:ascii="Garamond" w:hAnsi="Garamond"/>
                <w:bCs/>
              </w:rPr>
            </w:pPr>
            <w:r w:rsidRPr="005F47B8">
              <w:rPr>
                <w:rFonts w:ascii="Garamond" w:hAnsi="Garamond"/>
                <w:bCs/>
              </w:rPr>
              <w:t>Perte maximale en cas d’événement de dénouement</w:t>
            </w:r>
          </w:p>
        </w:tc>
        <w:tc>
          <w:tcPr>
            <w:tcW w:w="947" w:type="dxa"/>
            <w:tcBorders>
              <w:top w:val="nil"/>
              <w:left w:val="single" w:sz="4" w:space="0" w:color="auto"/>
              <w:bottom w:val="single" w:sz="4" w:space="0" w:color="auto"/>
              <w:right w:val="single" w:sz="4" w:space="0" w:color="auto"/>
            </w:tcBorders>
            <w:shd w:val="clear" w:color="auto" w:fill="auto"/>
            <w:vAlign w:val="center"/>
          </w:tcPr>
          <w:p w14:paraId="2742FA7F" w14:textId="77777777" w:rsidR="005F47B8" w:rsidRPr="00C20B08" w:rsidRDefault="005F47B8" w:rsidP="005F47B8">
            <w:pPr>
              <w:jc w:val="center"/>
              <w:rPr>
                <w:rFonts w:ascii="Garamond" w:hAnsi="Garamond"/>
              </w:rPr>
            </w:pPr>
            <w:r>
              <w:rPr>
                <w:rFonts w:ascii="Garamond" w:hAnsi="Garamond"/>
              </w:rPr>
              <w:t>C0190</w:t>
            </w:r>
          </w:p>
        </w:tc>
        <w:tc>
          <w:tcPr>
            <w:tcW w:w="6352" w:type="dxa"/>
            <w:tcBorders>
              <w:top w:val="nil"/>
              <w:left w:val="single" w:sz="4" w:space="0" w:color="auto"/>
              <w:bottom w:val="single" w:sz="4" w:space="0" w:color="auto"/>
              <w:right w:val="single" w:sz="4" w:space="0" w:color="auto"/>
            </w:tcBorders>
          </w:tcPr>
          <w:p w14:paraId="4F90A18B" w14:textId="77777777" w:rsidR="005F47B8" w:rsidRDefault="005F47B8" w:rsidP="00535385">
            <w:pPr>
              <w:spacing w:after="0"/>
              <w:jc w:val="both"/>
              <w:rPr>
                <w:rFonts w:ascii="Times New Roman" w:hAnsi="Times New Roman" w:cs="Times New Roman"/>
                <w:sz w:val="20"/>
                <w:szCs w:val="20"/>
              </w:rPr>
            </w:pPr>
            <w:r w:rsidRPr="004917C1">
              <w:rPr>
                <w:rFonts w:ascii="Times New Roman" w:hAnsi="Times New Roman" w:cs="Times New Roman"/>
                <w:sz w:val="20"/>
                <w:szCs w:val="20"/>
              </w:rPr>
              <w:t>Indiquer le montant maximal des pertes si un événement de dénouement devait survenir. Applicable à la catégorie CIC F.</w:t>
            </w:r>
          </w:p>
          <w:p w14:paraId="7A922F4E" w14:textId="77777777" w:rsidR="005F47B8" w:rsidRPr="004917C1" w:rsidRDefault="005F47B8" w:rsidP="00535385">
            <w:pPr>
              <w:spacing w:after="0"/>
              <w:jc w:val="both"/>
              <w:rPr>
                <w:rFonts w:ascii="Times New Roman" w:hAnsi="Times New Roman" w:cs="Times New Roman"/>
                <w:sz w:val="20"/>
                <w:szCs w:val="20"/>
              </w:rPr>
            </w:pPr>
          </w:p>
          <w:p w14:paraId="552DAD0F" w14:textId="77777777" w:rsidR="005F47B8" w:rsidRPr="00535385" w:rsidRDefault="005F47B8" w:rsidP="00535385">
            <w:pPr>
              <w:spacing w:after="0"/>
              <w:jc w:val="both"/>
              <w:rPr>
                <w:rFonts w:ascii="Times New Roman" w:hAnsi="Times New Roman" w:cs="Times New Roman"/>
                <w:sz w:val="20"/>
                <w:szCs w:val="20"/>
              </w:rPr>
            </w:pPr>
            <w:r w:rsidRPr="004917C1">
              <w:rPr>
                <w:rFonts w:ascii="Times New Roman" w:hAnsi="Times New Roman" w:cs="Times New Roman"/>
                <w:sz w:val="20"/>
                <w:szCs w:val="20"/>
              </w:rPr>
              <w:t>Lorsqu'un dérivé de crédit est garanti à 100 %, la perte maximale en cas d'événement de dénouement est égale à zéro.</w:t>
            </w:r>
          </w:p>
        </w:tc>
      </w:tr>
      <w:tr w:rsidR="005F47B8" w:rsidRPr="00C20B08" w14:paraId="59C1C8E5"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5B94BEE5" w14:textId="77777777" w:rsidR="005F47B8" w:rsidRPr="00C20B08" w:rsidRDefault="005F47B8" w:rsidP="005F47B8">
            <w:pPr>
              <w:rPr>
                <w:rFonts w:ascii="Garamond" w:hAnsi="Garamond"/>
                <w:bCs/>
              </w:rPr>
            </w:pPr>
            <w:r w:rsidRPr="005F47B8">
              <w:rPr>
                <w:rFonts w:ascii="Garamond" w:hAnsi="Garamond"/>
                <w:bCs/>
              </w:rPr>
              <w:t>Flux financiers sortants liés au contrat d’échange</w:t>
            </w:r>
          </w:p>
        </w:tc>
        <w:tc>
          <w:tcPr>
            <w:tcW w:w="947" w:type="dxa"/>
            <w:tcBorders>
              <w:top w:val="nil"/>
              <w:left w:val="single" w:sz="4" w:space="0" w:color="auto"/>
              <w:bottom w:val="single" w:sz="4" w:space="0" w:color="auto"/>
              <w:right w:val="single" w:sz="4" w:space="0" w:color="auto"/>
            </w:tcBorders>
            <w:shd w:val="clear" w:color="auto" w:fill="auto"/>
            <w:vAlign w:val="center"/>
          </w:tcPr>
          <w:p w14:paraId="746C4A5A" w14:textId="77777777" w:rsidR="005F47B8" w:rsidRPr="00C20B08" w:rsidRDefault="005F47B8" w:rsidP="005F47B8">
            <w:pPr>
              <w:jc w:val="center"/>
              <w:rPr>
                <w:rFonts w:ascii="Garamond" w:hAnsi="Garamond"/>
              </w:rPr>
            </w:pPr>
            <w:r>
              <w:rPr>
                <w:rFonts w:ascii="Garamond" w:hAnsi="Garamond"/>
              </w:rPr>
              <w:t>C0200</w:t>
            </w:r>
          </w:p>
        </w:tc>
        <w:tc>
          <w:tcPr>
            <w:tcW w:w="6352" w:type="dxa"/>
            <w:tcBorders>
              <w:top w:val="nil"/>
              <w:left w:val="single" w:sz="4" w:space="0" w:color="auto"/>
              <w:bottom w:val="single" w:sz="4" w:space="0" w:color="auto"/>
              <w:right w:val="single" w:sz="4" w:space="0" w:color="auto"/>
            </w:tcBorders>
          </w:tcPr>
          <w:p w14:paraId="796D65DD" w14:textId="77777777" w:rsidR="005F47B8" w:rsidRDefault="005F47B8" w:rsidP="00535385">
            <w:pPr>
              <w:spacing w:after="0"/>
              <w:jc w:val="both"/>
              <w:rPr>
                <w:rFonts w:ascii="Times New Roman" w:hAnsi="Times New Roman" w:cs="Times New Roman"/>
                <w:sz w:val="20"/>
                <w:szCs w:val="20"/>
              </w:rPr>
            </w:pPr>
            <w:r w:rsidRPr="008467A2">
              <w:rPr>
                <w:rFonts w:ascii="Times New Roman" w:hAnsi="Times New Roman" w:cs="Times New Roman"/>
                <w:sz w:val="20"/>
                <w:szCs w:val="20"/>
              </w:rPr>
              <w:t>Montant livré en exécution du contrat d'échange (à l'exclusion des primes), au cours de la période de référence. Correspond aux intérêts payés pour les swaps de taux d'intérêt et aux montants livrés pour les swaps de devises, les swaps de crédit, les swaps sur rendement total et autres swaps.</w:t>
            </w:r>
          </w:p>
          <w:p w14:paraId="74E9C332" w14:textId="77777777" w:rsidR="005F47B8" w:rsidRPr="008467A2" w:rsidRDefault="005F47B8" w:rsidP="00535385">
            <w:pPr>
              <w:spacing w:after="0"/>
              <w:jc w:val="both"/>
              <w:rPr>
                <w:rFonts w:ascii="Times New Roman" w:hAnsi="Times New Roman" w:cs="Times New Roman"/>
                <w:sz w:val="20"/>
                <w:szCs w:val="20"/>
              </w:rPr>
            </w:pPr>
          </w:p>
          <w:p w14:paraId="46F2555E" w14:textId="77777777" w:rsidR="005F47B8" w:rsidRPr="00535385" w:rsidRDefault="005F47B8" w:rsidP="00535385">
            <w:pPr>
              <w:spacing w:after="0"/>
              <w:jc w:val="both"/>
              <w:rPr>
                <w:rFonts w:ascii="Times New Roman" w:hAnsi="Times New Roman" w:cs="Times New Roman"/>
                <w:sz w:val="20"/>
                <w:szCs w:val="20"/>
              </w:rPr>
            </w:pPr>
            <w:r w:rsidRPr="008467A2">
              <w:rPr>
                <w:rFonts w:ascii="Times New Roman" w:hAnsi="Times New Roman" w:cs="Times New Roman"/>
                <w:sz w:val="20"/>
                <w:szCs w:val="20"/>
              </w:rPr>
              <w:t>Dans les cas où le règlement est effectué sur une base nette, ne déclarer que l'un des éléments C0200 et C0210.</w:t>
            </w:r>
          </w:p>
        </w:tc>
      </w:tr>
      <w:tr w:rsidR="00C450CC" w:rsidRPr="00C20B08" w14:paraId="2F8A408D"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7A44D98C" w14:textId="77777777" w:rsidR="00C450CC" w:rsidRPr="005F47B8" w:rsidRDefault="00C450CC" w:rsidP="005F47B8">
            <w:pPr>
              <w:rPr>
                <w:rFonts w:ascii="Garamond" w:hAnsi="Garamond"/>
                <w:bCs/>
              </w:rPr>
            </w:pPr>
            <w:r w:rsidRPr="00C450CC">
              <w:rPr>
                <w:rFonts w:ascii="Garamond" w:hAnsi="Garamond"/>
                <w:bCs/>
              </w:rPr>
              <w:t>Montant des entrées de trésorerie liées au contrat d’échange</w:t>
            </w:r>
          </w:p>
        </w:tc>
        <w:tc>
          <w:tcPr>
            <w:tcW w:w="947" w:type="dxa"/>
            <w:tcBorders>
              <w:top w:val="nil"/>
              <w:left w:val="single" w:sz="4" w:space="0" w:color="auto"/>
              <w:bottom w:val="single" w:sz="4" w:space="0" w:color="auto"/>
              <w:right w:val="single" w:sz="4" w:space="0" w:color="auto"/>
            </w:tcBorders>
            <w:shd w:val="clear" w:color="auto" w:fill="auto"/>
            <w:vAlign w:val="center"/>
          </w:tcPr>
          <w:p w14:paraId="3E5AC054" w14:textId="77777777" w:rsidR="00C450CC" w:rsidRDefault="00C450CC" w:rsidP="005F47B8">
            <w:pPr>
              <w:jc w:val="center"/>
              <w:rPr>
                <w:rFonts w:ascii="Garamond" w:hAnsi="Garamond"/>
              </w:rPr>
            </w:pPr>
            <w:r>
              <w:rPr>
                <w:rFonts w:ascii="Garamond" w:hAnsi="Garamond"/>
              </w:rPr>
              <w:t>C0210</w:t>
            </w:r>
          </w:p>
        </w:tc>
        <w:tc>
          <w:tcPr>
            <w:tcW w:w="6352" w:type="dxa"/>
            <w:tcBorders>
              <w:top w:val="nil"/>
              <w:left w:val="single" w:sz="4" w:space="0" w:color="auto"/>
              <w:bottom w:val="single" w:sz="4" w:space="0" w:color="auto"/>
              <w:right w:val="single" w:sz="4" w:space="0" w:color="auto"/>
            </w:tcBorders>
          </w:tcPr>
          <w:p w14:paraId="3A9122B8" w14:textId="77777777" w:rsidR="00C450CC" w:rsidRDefault="00C450CC" w:rsidP="00535385">
            <w:pPr>
              <w:spacing w:after="0"/>
              <w:jc w:val="both"/>
              <w:rPr>
                <w:rFonts w:ascii="Times New Roman" w:hAnsi="Times New Roman" w:cs="Times New Roman"/>
                <w:sz w:val="20"/>
                <w:szCs w:val="20"/>
              </w:rPr>
            </w:pPr>
            <w:r w:rsidRPr="008467A2">
              <w:rPr>
                <w:rFonts w:ascii="Times New Roman" w:hAnsi="Times New Roman" w:cs="Times New Roman"/>
                <w:sz w:val="20"/>
                <w:szCs w:val="20"/>
              </w:rPr>
              <w:t>Montant reçu en exécution du contrat d'échange (à l'exclusion des primes), au cours de la période de référence. Correspond aux intérêts reçus pour les swaps de taux d'intérêt et aux montants reçus pour les swaps de devises, les swaps de crédit, les swaps sur rendement total et autres swaps.</w:t>
            </w:r>
          </w:p>
          <w:p w14:paraId="6CEDBC44" w14:textId="77777777" w:rsidR="00C450CC" w:rsidRPr="008467A2" w:rsidRDefault="00C450CC" w:rsidP="00535385">
            <w:pPr>
              <w:spacing w:after="0"/>
              <w:jc w:val="both"/>
              <w:rPr>
                <w:rFonts w:ascii="Times New Roman" w:hAnsi="Times New Roman" w:cs="Times New Roman"/>
                <w:sz w:val="20"/>
                <w:szCs w:val="20"/>
              </w:rPr>
            </w:pPr>
          </w:p>
          <w:p w14:paraId="775C6B38" w14:textId="77777777" w:rsidR="00C450CC" w:rsidRPr="008467A2" w:rsidRDefault="00C450CC" w:rsidP="00C450CC">
            <w:pPr>
              <w:spacing w:after="0"/>
              <w:jc w:val="both"/>
              <w:rPr>
                <w:rFonts w:ascii="Times New Roman" w:hAnsi="Times New Roman" w:cs="Times New Roman"/>
                <w:sz w:val="20"/>
                <w:szCs w:val="20"/>
              </w:rPr>
            </w:pPr>
            <w:r w:rsidRPr="008467A2">
              <w:rPr>
                <w:rFonts w:ascii="Times New Roman" w:hAnsi="Times New Roman" w:cs="Times New Roman"/>
                <w:sz w:val="20"/>
                <w:szCs w:val="20"/>
              </w:rPr>
              <w:t>Dans les cas où le règlement est effectué sur une base nette, ne déclarer que l'un des éléments C0200 et C0210.</w:t>
            </w:r>
          </w:p>
        </w:tc>
      </w:tr>
      <w:tr w:rsidR="000F7F03" w:rsidRPr="00C20B08" w14:paraId="6935247B"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65DB28C7" w14:textId="77777777" w:rsidR="000F7F03" w:rsidRPr="005F47B8" w:rsidRDefault="000F7F03" w:rsidP="000F7F03">
            <w:pPr>
              <w:rPr>
                <w:rFonts w:ascii="Garamond" w:hAnsi="Garamond"/>
                <w:bCs/>
              </w:rPr>
            </w:pPr>
            <w:r w:rsidRPr="008467A2">
              <w:rPr>
                <w:rFonts w:ascii="Times New Roman" w:hAnsi="Times New Roman" w:cs="Times New Roman"/>
                <w:sz w:val="20"/>
                <w:szCs w:val="20"/>
              </w:rPr>
              <w:t>Date initiale</w:t>
            </w:r>
          </w:p>
        </w:tc>
        <w:tc>
          <w:tcPr>
            <w:tcW w:w="947" w:type="dxa"/>
            <w:tcBorders>
              <w:top w:val="nil"/>
              <w:left w:val="single" w:sz="4" w:space="0" w:color="auto"/>
              <w:bottom w:val="single" w:sz="4" w:space="0" w:color="auto"/>
              <w:right w:val="single" w:sz="4" w:space="0" w:color="auto"/>
            </w:tcBorders>
            <w:shd w:val="clear" w:color="auto" w:fill="auto"/>
            <w:vAlign w:val="center"/>
          </w:tcPr>
          <w:p w14:paraId="23B8460B" w14:textId="77777777" w:rsidR="000F7F03" w:rsidRDefault="000F7F03" w:rsidP="000F7F03">
            <w:pPr>
              <w:jc w:val="center"/>
              <w:rPr>
                <w:rFonts w:ascii="Garamond" w:hAnsi="Garamond"/>
              </w:rPr>
            </w:pPr>
            <w:r>
              <w:rPr>
                <w:rFonts w:ascii="Garamond" w:hAnsi="Garamond"/>
              </w:rPr>
              <w:t>C0220</w:t>
            </w:r>
          </w:p>
        </w:tc>
        <w:tc>
          <w:tcPr>
            <w:tcW w:w="6352" w:type="dxa"/>
            <w:tcBorders>
              <w:top w:val="nil"/>
              <w:left w:val="single" w:sz="4" w:space="0" w:color="auto"/>
              <w:bottom w:val="single" w:sz="4" w:space="0" w:color="auto"/>
              <w:right w:val="single" w:sz="4" w:space="0" w:color="auto"/>
            </w:tcBorders>
          </w:tcPr>
          <w:p w14:paraId="6F63CF1D" w14:textId="77777777" w:rsidR="000F7F03" w:rsidRDefault="000F7F03" w:rsidP="00535385">
            <w:pPr>
              <w:spacing w:after="0"/>
              <w:jc w:val="both"/>
              <w:rPr>
                <w:rFonts w:ascii="Times New Roman" w:hAnsi="Times New Roman" w:cs="Times New Roman"/>
                <w:sz w:val="20"/>
                <w:szCs w:val="20"/>
              </w:rPr>
            </w:pPr>
            <w:r w:rsidRPr="008467A2">
              <w:rPr>
                <w:rFonts w:ascii="Times New Roman" w:hAnsi="Times New Roman" w:cs="Times New Roman"/>
                <w:sz w:val="20"/>
                <w:szCs w:val="20"/>
              </w:rPr>
              <w:t>Indiquer le code ISO 8601 (</w:t>
            </w:r>
            <w:proofErr w:type="spellStart"/>
            <w:r w:rsidRPr="008467A2">
              <w:rPr>
                <w:rFonts w:ascii="Times New Roman" w:hAnsi="Times New Roman" w:cs="Times New Roman"/>
                <w:sz w:val="20"/>
                <w:szCs w:val="20"/>
              </w:rPr>
              <w:t>aaaa</w:t>
            </w:r>
            <w:proofErr w:type="spellEnd"/>
            <w:r w:rsidRPr="008467A2">
              <w:rPr>
                <w:rFonts w:ascii="Times New Roman" w:hAnsi="Times New Roman" w:cs="Times New Roman"/>
                <w:sz w:val="20"/>
                <w:szCs w:val="20"/>
              </w:rPr>
              <w:t>-mm-</w:t>
            </w:r>
            <w:proofErr w:type="spellStart"/>
            <w:r w:rsidRPr="008467A2">
              <w:rPr>
                <w:rFonts w:ascii="Times New Roman" w:hAnsi="Times New Roman" w:cs="Times New Roman"/>
                <w:sz w:val="20"/>
                <w:szCs w:val="20"/>
              </w:rPr>
              <w:t>jj</w:t>
            </w:r>
            <w:proofErr w:type="spellEnd"/>
            <w:r w:rsidRPr="008467A2">
              <w:rPr>
                <w:rFonts w:ascii="Times New Roman" w:hAnsi="Times New Roman" w:cs="Times New Roman"/>
                <w:sz w:val="20"/>
                <w:szCs w:val="20"/>
              </w:rPr>
              <w:t>) de la date à laquelle les obligations prévues au contrat prennent effet.</w:t>
            </w:r>
          </w:p>
          <w:p w14:paraId="630D7170" w14:textId="77777777" w:rsidR="000F7F03" w:rsidRPr="008467A2" w:rsidRDefault="000F7F03" w:rsidP="00535385">
            <w:pPr>
              <w:spacing w:after="0"/>
              <w:jc w:val="both"/>
              <w:rPr>
                <w:rFonts w:ascii="Times New Roman" w:hAnsi="Times New Roman" w:cs="Times New Roman"/>
                <w:sz w:val="20"/>
                <w:szCs w:val="20"/>
              </w:rPr>
            </w:pPr>
          </w:p>
          <w:p w14:paraId="15C5B0BA" w14:textId="77777777" w:rsidR="000F7F03" w:rsidRDefault="000F7F03" w:rsidP="00535385">
            <w:pPr>
              <w:spacing w:after="0"/>
              <w:jc w:val="both"/>
              <w:rPr>
                <w:rFonts w:ascii="Times New Roman" w:hAnsi="Times New Roman" w:cs="Times New Roman"/>
                <w:sz w:val="20"/>
                <w:szCs w:val="20"/>
              </w:rPr>
            </w:pPr>
            <w:r w:rsidRPr="008467A2">
              <w:rPr>
                <w:rFonts w:ascii="Times New Roman" w:hAnsi="Times New Roman" w:cs="Times New Roman"/>
                <w:sz w:val="20"/>
                <w:szCs w:val="20"/>
              </w:rPr>
              <w:t>Lorsqu'il y a plusieurs dates pour un même dérivé, déclarer uniquement la date du premier échange et n'employer qu'une ligne par dérivé (non une ligne différente pour chaque échange) reflétant le montant global investi dans ce dérivé compte tenu des différentes dates d'échange.</w:t>
            </w:r>
          </w:p>
          <w:p w14:paraId="5C199DA5" w14:textId="77777777" w:rsidR="000F7F03" w:rsidRPr="008467A2" w:rsidRDefault="000F7F03" w:rsidP="00535385">
            <w:pPr>
              <w:spacing w:after="0"/>
              <w:jc w:val="both"/>
              <w:rPr>
                <w:rFonts w:ascii="Times New Roman" w:hAnsi="Times New Roman" w:cs="Times New Roman"/>
                <w:sz w:val="20"/>
                <w:szCs w:val="20"/>
              </w:rPr>
            </w:pPr>
          </w:p>
          <w:p w14:paraId="5DC1A71E" w14:textId="77777777" w:rsidR="000F7F03" w:rsidRPr="008467A2" w:rsidRDefault="000F7F03">
            <w:pPr>
              <w:spacing w:after="0"/>
              <w:jc w:val="both"/>
              <w:rPr>
                <w:rFonts w:ascii="Times New Roman" w:hAnsi="Times New Roman" w:cs="Times New Roman"/>
                <w:sz w:val="20"/>
                <w:szCs w:val="20"/>
              </w:rPr>
            </w:pPr>
            <w:r w:rsidRPr="008467A2">
              <w:rPr>
                <w:rFonts w:ascii="Times New Roman" w:hAnsi="Times New Roman" w:cs="Times New Roman"/>
                <w:sz w:val="20"/>
                <w:szCs w:val="20"/>
              </w:rPr>
              <w:t>En cas de novation, la date de novation devient la date d'échange pour ce dérivé.</w:t>
            </w:r>
          </w:p>
        </w:tc>
      </w:tr>
      <w:tr w:rsidR="00B9126D" w:rsidRPr="00C20B08" w14:paraId="2CA6F934"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36C562D1" w14:textId="77777777" w:rsidR="00B9126D" w:rsidRPr="005F47B8" w:rsidRDefault="00B9126D">
            <w:pPr>
              <w:rPr>
                <w:rFonts w:ascii="Garamond" w:hAnsi="Garamond"/>
                <w:bCs/>
              </w:rPr>
            </w:pPr>
            <w:r>
              <w:rPr>
                <w:rFonts w:ascii="Garamond" w:hAnsi="Garamond"/>
                <w:bCs/>
              </w:rPr>
              <w:t>Duration</w:t>
            </w:r>
          </w:p>
        </w:tc>
        <w:tc>
          <w:tcPr>
            <w:tcW w:w="947" w:type="dxa"/>
            <w:tcBorders>
              <w:top w:val="nil"/>
              <w:left w:val="single" w:sz="4" w:space="0" w:color="auto"/>
              <w:bottom w:val="single" w:sz="4" w:space="0" w:color="auto"/>
              <w:right w:val="single" w:sz="4" w:space="0" w:color="auto"/>
            </w:tcBorders>
            <w:shd w:val="clear" w:color="auto" w:fill="auto"/>
            <w:vAlign w:val="center"/>
          </w:tcPr>
          <w:p w14:paraId="4D6CC77D" w14:textId="77777777" w:rsidR="00B9126D" w:rsidRDefault="00B9126D" w:rsidP="00B9126D">
            <w:pPr>
              <w:jc w:val="center"/>
              <w:rPr>
                <w:rFonts w:ascii="Garamond" w:hAnsi="Garamond"/>
              </w:rPr>
            </w:pPr>
            <w:r>
              <w:rPr>
                <w:rFonts w:ascii="Garamond" w:hAnsi="Garamond"/>
                <w:bCs/>
              </w:rPr>
              <w:t>C0230</w:t>
            </w:r>
          </w:p>
        </w:tc>
        <w:tc>
          <w:tcPr>
            <w:tcW w:w="6352" w:type="dxa"/>
            <w:tcBorders>
              <w:top w:val="nil"/>
              <w:left w:val="single" w:sz="4" w:space="0" w:color="auto"/>
              <w:bottom w:val="single" w:sz="4" w:space="0" w:color="auto"/>
              <w:right w:val="single" w:sz="4" w:space="0" w:color="auto"/>
            </w:tcBorders>
          </w:tcPr>
          <w:p w14:paraId="612DDEE6" w14:textId="77777777" w:rsidR="00B9126D" w:rsidRDefault="00B9126D" w:rsidP="00535385">
            <w:pPr>
              <w:spacing w:after="0"/>
              <w:jc w:val="both"/>
              <w:rPr>
                <w:rFonts w:ascii="Times New Roman" w:hAnsi="Times New Roman" w:cs="Times New Roman"/>
                <w:sz w:val="20"/>
                <w:szCs w:val="20"/>
              </w:rPr>
            </w:pPr>
            <w:r w:rsidRPr="008467A2">
              <w:rPr>
                <w:rFonts w:ascii="Times New Roman" w:hAnsi="Times New Roman" w:cs="Times New Roman"/>
                <w:sz w:val="20"/>
                <w:szCs w:val="20"/>
              </w:rPr>
              <w:t>Duration du dérivé, définie comme la durée résiduelle modifiée pour les dérivés auxquels une mesure de la duration est applicable.</w:t>
            </w:r>
          </w:p>
          <w:p w14:paraId="37CD0B40" w14:textId="77777777" w:rsidR="00B9126D" w:rsidRPr="008467A2" w:rsidRDefault="00B9126D" w:rsidP="00535385">
            <w:pPr>
              <w:spacing w:after="0"/>
              <w:jc w:val="both"/>
              <w:rPr>
                <w:rFonts w:ascii="Times New Roman" w:hAnsi="Times New Roman" w:cs="Times New Roman"/>
                <w:sz w:val="20"/>
                <w:szCs w:val="20"/>
              </w:rPr>
            </w:pPr>
          </w:p>
          <w:p w14:paraId="50356D17" w14:textId="77777777" w:rsidR="00B9126D" w:rsidRPr="008467A2" w:rsidRDefault="00B9126D">
            <w:pPr>
              <w:spacing w:after="0"/>
              <w:jc w:val="both"/>
              <w:rPr>
                <w:rFonts w:ascii="Times New Roman" w:hAnsi="Times New Roman" w:cs="Times New Roman"/>
                <w:sz w:val="20"/>
                <w:szCs w:val="20"/>
              </w:rPr>
            </w:pPr>
            <w:r w:rsidRPr="008467A2">
              <w:rPr>
                <w:rFonts w:ascii="Times New Roman" w:hAnsi="Times New Roman" w:cs="Times New Roman"/>
                <w:sz w:val="20"/>
                <w:szCs w:val="20"/>
              </w:rPr>
              <w:t>Calculée comme la duration nette entre entrées et sorties de trésorerie générées par le dérivé, lorsqu'il y a lieu.</w:t>
            </w:r>
          </w:p>
        </w:tc>
      </w:tr>
      <w:tr w:rsidR="00B9126D" w:rsidRPr="00C20B08" w14:paraId="13CD2A0B"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1CB2FE4F" w14:textId="77777777" w:rsidR="00B9126D" w:rsidRPr="005F47B8" w:rsidRDefault="00B9126D" w:rsidP="00B9126D">
            <w:pPr>
              <w:rPr>
                <w:rFonts w:ascii="Garamond" w:hAnsi="Garamond"/>
                <w:bCs/>
              </w:rPr>
            </w:pPr>
            <w:r>
              <w:rPr>
                <w:rFonts w:ascii="Garamond" w:hAnsi="Garamond"/>
                <w:bCs/>
              </w:rPr>
              <w:t>Valeur de marché</w:t>
            </w:r>
          </w:p>
        </w:tc>
        <w:tc>
          <w:tcPr>
            <w:tcW w:w="947" w:type="dxa"/>
            <w:tcBorders>
              <w:top w:val="nil"/>
              <w:left w:val="single" w:sz="4" w:space="0" w:color="auto"/>
              <w:bottom w:val="single" w:sz="4" w:space="0" w:color="auto"/>
              <w:right w:val="single" w:sz="4" w:space="0" w:color="auto"/>
            </w:tcBorders>
            <w:shd w:val="clear" w:color="auto" w:fill="auto"/>
            <w:vAlign w:val="center"/>
          </w:tcPr>
          <w:p w14:paraId="19D2DBF1" w14:textId="77777777" w:rsidR="00B9126D" w:rsidRDefault="00B9126D" w:rsidP="00B9126D">
            <w:pPr>
              <w:jc w:val="center"/>
              <w:rPr>
                <w:rFonts w:ascii="Garamond" w:hAnsi="Garamond"/>
              </w:rPr>
            </w:pPr>
            <w:r>
              <w:rPr>
                <w:rFonts w:ascii="Garamond" w:hAnsi="Garamond"/>
                <w:bCs/>
              </w:rPr>
              <w:t>C0240</w:t>
            </w:r>
          </w:p>
        </w:tc>
        <w:tc>
          <w:tcPr>
            <w:tcW w:w="6352" w:type="dxa"/>
            <w:tcBorders>
              <w:top w:val="nil"/>
              <w:left w:val="single" w:sz="4" w:space="0" w:color="auto"/>
              <w:bottom w:val="single" w:sz="4" w:space="0" w:color="auto"/>
              <w:right w:val="single" w:sz="4" w:space="0" w:color="auto"/>
            </w:tcBorders>
          </w:tcPr>
          <w:p w14:paraId="494C6BB7" w14:textId="77777777" w:rsidR="00B9126D" w:rsidRPr="008467A2" w:rsidRDefault="00B9126D">
            <w:pPr>
              <w:spacing w:after="0"/>
              <w:jc w:val="both"/>
              <w:rPr>
                <w:rFonts w:ascii="Times New Roman" w:hAnsi="Times New Roman" w:cs="Times New Roman"/>
                <w:sz w:val="20"/>
                <w:szCs w:val="20"/>
              </w:rPr>
            </w:pPr>
            <w:r>
              <w:rPr>
                <w:rFonts w:ascii="Times New Roman" w:hAnsi="Times New Roman" w:cs="Times New Roman"/>
                <w:sz w:val="20"/>
                <w:szCs w:val="20"/>
              </w:rPr>
              <w:t>Valeur de marché du dérivé.</w:t>
            </w:r>
          </w:p>
        </w:tc>
      </w:tr>
      <w:tr w:rsidR="000F7F03" w:rsidRPr="00C20B08" w14:paraId="0F76293C"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40D2A450" w14:textId="77777777" w:rsidR="000F7F03" w:rsidRPr="00C20B08" w:rsidRDefault="00B9126D">
            <w:pPr>
              <w:rPr>
                <w:rFonts w:ascii="Garamond" w:hAnsi="Garamond"/>
                <w:bCs/>
              </w:rPr>
            </w:pPr>
            <w:r w:rsidRPr="00C20B08">
              <w:rPr>
                <w:rFonts w:ascii="Garamond" w:hAnsi="Garamond"/>
                <w:bCs/>
              </w:rPr>
              <w:t>Méthode de valorisation</w:t>
            </w:r>
          </w:p>
        </w:tc>
        <w:tc>
          <w:tcPr>
            <w:tcW w:w="947" w:type="dxa"/>
            <w:tcBorders>
              <w:top w:val="nil"/>
              <w:left w:val="single" w:sz="4" w:space="0" w:color="auto"/>
              <w:bottom w:val="single" w:sz="4" w:space="0" w:color="auto"/>
              <w:right w:val="single" w:sz="4" w:space="0" w:color="auto"/>
            </w:tcBorders>
            <w:shd w:val="clear" w:color="auto" w:fill="auto"/>
            <w:vAlign w:val="center"/>
          </w:tcPr>
          <w:p w14:paraId="6BF6735E" w14:textId="77777777" w:rsidR="000F7F03" w:rsidRPr="00C20B08" w:rsidRDefault="00B9126D" w:rsidP="000F7F03">
            <w:pPr>
              <w:jc w:val="center"/>
              <w:rPr>
                <w:rFonts w:ascii="Garamond" w:hAnsi="Garamond"/>
              </w:rPr>
            </w:pPr>
            <w:r>
              <w:rPr>
                <w:rFonts w:ascii="Garamond" w:hAnsi="Garamond"/>
              </w:rPr>
              <w:t>C0250</w:t>
            </w:r>
            <w:r w:rsidR="000F7F03" w:rsidRPr="00C20B08">
              <w:rPr>
                <w:rFonts w:ascii="Garamond" w:hAnsi="Garamond"/>
              </w:rPr>
              <w:tab/>
            </w:r>
          </w:p>
        </w:tc>
        <w:tc>
          <w:tcPr>
            <w:tcW w:w="6352" w:type="dxa"/>
            <w:tcBorders>
              <w:top w:val="nil"/>
              <w:left w:val="single" w:sz="4" w:space="0" w:color="auto"/>
              <w:bottom w:val="single" w:sz="4" w:space="0" w:color="auto"/>
              <w:right w:val="single" w:sz="4" w:space="0" w:color="auto"/>
            </w:tcBorders>
          </w:tcPr>
          <w:p w14:paraId="68B4C2F9" w14:textId="77777777" w:rsidR="000F7F03" w:rsidRPr="00C20B08" w:rsidRDefault="000F7F03" w:rsidP="00535385">
            <w:pPr>
              <w:spacing w:after="0"/>
              <w:rPr>
                <w:rFonts w:ascii="Garamond" w:hAnsi="Garamond"/>
              </w:rPr>
            </w:pPr>
            <w:r w:rsidRPr="00C20B08">
              <w:rPr>
                <w:rFonts w:ascii="Garamond" w:hAnsi="Garamond"/>
              </w:rPr>
              <w:t>Méthode d’évaluation</w:t>
            </w:r>
            <w:r>
              <w:rPr>
                <w:rFonts w:ascii="Garamond" w:hAnsi="Garamond"/>
              </w:rPr>
              <w:t>, choisir l’une des valeurs suivantes :</w:t>
            </w:r>
          </w:p>
          <w:p w14:paraId="79A8C4F6" w14:textId="77777777" w:rsidR="000F7F03" w:rsidRPr="002F38A2" w:rsidRDefault="000F7F03" w:rsidP="00535385">
            <w:pPr>
              <w:spacing w:after="0"/>
              <w:rPr>
                <w:rFonts w:ascii="Garamond" w:hAnsi="Garamond"/>
              </w:rPr>
            </w:pPr>
            <w:r w:rsidRPr="002F38A2">
              <w:rPr>
                <w:rFonts w:ascii="Garamond" w:hAnsi="Garamond"/>
              </w:rPr>
              <w:t xml:space="preserve">1 – Prix coté sur un marché actif pour les mêmes actifs </w:t>
            </w:r>
          </w:p>
          <w:p w14:paraId="5A9910E5" w14:textId="77777777" w:rsidR="000F7F03" w:rsidRPr="002F38A2" w:rsidRDefault="000F7F03" w:rsidP="00535385">
            <w:pPr>
              <w:spacing w:after="0"/>
              <w:rPr>
                <w:rFonts w:ascii="Garamond" w:hAnsi="Garamond"/>
              </w:rPr>
            </w:pPr>
            <w:r w:rsidRPr="002F38A2">
              <w:rPr>
                <w:rFonts w:ascii="Garamond" w:hAnsi="Garamond"/>
              </w:rPr>
              <w:t xml:space="preserve">2 – Prix coté sur un marché actif pour des actifs similaires </w:t>
            </w:r>
          </w:p>
          <w:p w14:paraId="3D2A0106" w14:textId="77777777" w:rsidR="000F7F03" w:rsidRPr="00C20B08" w:rsidRDefault="000F7F03" w:rsidP="00535385">
            <w:pPr>
              <w:spacing w:after="0"/>
              <w:rPr>
                <w:rFonts w:ascii="Garamond" w:hAnsi="Garamond"/>
              </w:rPr>
            </w:pPr>
            <w:r w:rsidRPr="002F38A2">
              <w:rPr>
                <w:rFonts w:ascii="Garamond" w:hAnsi="Garamond"/>
              </w:rPr>
              <w:t xml:space="preserve">3 – Autre / Une évaluation si les méthodes 1 et 2 ne sont pas possibles </w:t>
            </w:r>
          </w:p>
        </w:tc>
      </w:tr>
      <w:tr w:rsidR="000F7F03" w:rsidRPr="00C20B08" w14:paraId="238E72FB" w14:textId="77777777" w:rsidTr="002205D3">
        <w:trPr>
          <w:trHeight w:val="300"/>
        </w:trPr>
        <w:tc>
          <w:tcPr>
            <w:tcW w:w="9157" w:type="dxa"/>
            <w:gridSpan w:val="3"/>
            <w:tcBorders>
              <w:top w:val="nil"/>
              <w:left w:val="single" w:sz="4" w:space="0" w:color="auto"/>
              <w:bottom w:val="single" w:sz="4" w:space="0" w:color="auto"/>
              <w:right w:val="single" w:sz="4" w:space="0" w:color="auto"/>
            </w:tcBorders>
            <w:shd w:val="clear" w:color="auto" w:fill="auto"/>
            <w:vAlign w:val="center"/>
          </w:tcPr>
          <w:p w14:paraId="4318A569" w14:textId="77777777" w:rsidR="000F7F03" w:rsidRPr="00C20B08" w:rsidRDefault="000F7F03" w:rsidP="00535385">
            <w:pPr>
              <w:spacing w:after="0" w:line="240" w:lineRule="auto"/>
              <w:rPr>
                <w:rFonts w:ascii="Garamond" w:hAnsi="Garamond"/>
              </w:rPr>
            </w:pPr>
            <w:r w:rsidRPr="00535385">
              <w:rPr>
                <w:rFonts w:ascii="Garamond" w:eastAsia="Times New Roman" w:hAnsi="Garamond" w:cs="Times New Roman"/>
                <w:b/>
                <w:bCs/>
                <w:lang w:eastAsia="fr-FR"/>
              </w:rPr>
              <w:t xml:space="preserve">Informations sur les </w:t>
            </w:r>
            <w:r w:rsidR="00B9126D">
              <w:rPr>
                <w:rFonts w:ascii="Garamond" w:eastAsia="Times New Roman" w:hAnsi="Garamond" w:cs="Times New Roman"/>
                <w:b/>
                <w:bCs/>
                <w:lang w:eastAsia="fr-FR"/>
              </w:rPr>
              <w:t>dérivés</w:t>
            </w:r>
            <w:r w:rsidR="00B9126D" w:rsidRPr="00535385">
              <w:rPr>
                <w:rFonts w:ascii="Garamond" w:eastAsia="Times New Roman" w:hAnsi="Garamond" w:cs="Times New Roman"/>
                <w:b/>
                <w:bCs/>
                <w:lang w:eastAsia="fr-FR"/>
              </w:rPr>
              <w:t xml:space="preserve"> </w:t>
            </w:r>
            <w:r w:rsidRPr="00535385">
              <w:rPr>
                <w:rFonts w:ascii="Garamond" w:eastAsia="Times New Roman" w:hAnsi="Garamond" w:cs="Times New Roman"/>
                <w:b/>
                <w:bCs/>
                <w:lang w:eastAsia="fr-FR"/>
              </w:rPr>
              <w:t>(PF.0</w:t>
            </w:r>
            <w:r w:rsidR="00B9126D">
              <w:rPr>
                <w:rFonts w:ascii="Garamond" w:eastAsia="Times New Roman" w:hAnsi="Garamond" w:cs="Times New Roman"/>
                <w:b/>
                <w:bCs/>
                <w:lang w:eastAsia="fr-FR"/>
              </w:rPr>
              <w:t>8</w:t>
            </w:r>
            <w:r w:rsidRPr="00535385">
              <w:rPr>
                <w:rFonts w:ascii="Garamond" w:eastAsia="Times New Roman" w:hAnsi="Garamond" w:cs="Times New Roman"/>
                <w:b/>
                <w:bCs/>
                <w:lang w:eastAsia="fr-FR"/>
              </w:rPr>
              <w:t>.0</w:t>
            </w:r>
            <w:r w:rsidR="00B9126D">
              <w:rPr>
                <w:rFonts w:ascii="Garamond" w:eastAsia="Times New Roman" w:hAnsi="Garamond" w:cs="Times New Roman"/>
                <w:b/>
                <w:bCs/>
                <w:lang w:eastAsia="fr-FR"/>
              </w:rPr>
              <w:t>1</w:t>
            </w:r>
            <w:r w:rsidRPr="00535385">
              <w:rPr>
                <w:rFonts w:ascii="Garamond" w:eastAsia="Times New Roman" w:hAnsi="Garamond" w:cs="Times New Roman"/>
                <w:b/>
                <w:bCs/>
                <w:lang w:eastAsia="fr-FR"/>
              </w:rPr>
              <w:t>.</w:t>
            </w:r>
            <w:r w:rsidR="00B9126D">
              <w:rPr>
                <w:rFonts w:ascii="Garamond" w:eastAsia="Times New Roman" w:hAnsi="Garamond" w:cs="Times New Roman"/>
                <w:b/>
                <w:bCs/>
                <w:lang w:eastAsia="fr-FR"/>
              </w:rPr>
              <w:t>24</w:t>
            </w:r>
            <w:r w:rsidRPr="00535385">
              <w:rPr>
                <w:rFonts w:ascii="Garamond" w:eastAsia="Times New Roman" w:hAnsi="Garamond" w:cs="Times New Roman"/>
                <w:b/>
                <w:bCs/>
                <w:lang w:eastAsia="fr-FR"/>
              </w:rPr>
              <w:t>.02)</w:t>
            </w:r>
          </w:p>
        </w:tc>
      </w:tr>
      <w:tr w:rsidR="00A860A4" w:rsidRPr="00C20B08" w14:paraId="096CF658"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2ADDC5C0" w14:textId="77777777" w:rsidR="00A860A4" w:rsidRDefault="00A860A4" w:rsidP="00A860A4">
            <w:pPr>
              <w:rPr>
                <w:rFonts w:ascii="Garamond" w:hAnsi="Garamond"/>
              </w:rPr>
            </w:pPr>
            <w:r w:rsidRPr="00C20B08">
              <w:rPr>
                <w:rFonts w:ascii="Garamond" w:hAnsi="Garamond"/>
              </w:rPr>
              <w:t>Code d’identification d</w:t>
            </w:r>
            <w:r>
              <w:rPr>
                <w:rFonts w:ascii="Garamond" w:hAnsi="Garamond"/>
              </w:rPr>
              <w:t>u dérivé</w:t>
            </w:r>
          </w:p>
          <w:p w14:paraId="18F823EE" w14:textId="77777777" w:rsidR="00A860A4" w:rsidRPr="00C20B08" w:rsidRDefault="00A860A4" w:rsidP="00A860A4">
            <w:pPr>
              <w:rPr>
                <w:rFonts w:ascii="Garamond" w:hAnsi="Garamond"/>
                <w:bCs/>
              </w:rPr>
            </w:pPr>
          </w:p>
        </w:tc>
        <w:tc>
          <w:tcPr>
            <w:tcW w:w="947" w:type="dxa"/>
            <w:tcBorders>
              <w:top w:val="nil"/>
              <w:left w:val="single" w:sz="4" w:space="0" w:color="auto"/>
              <w:bottom w:val="single" w:sz="4" w:space="0" w:color="auto"/>
              <w:right w:val="single" w:sz="4" w:space="0" w:color="auto"/>
            </w:tcBorders>
            <w:shd w:val="clear" w:color="auto" w:fill="auto"/>
            <w:vAlign w:val="center"/>
          </w:tcPr>
          <w:p w14:paraId="02871863" w14:textId="77777777" w:rsidR="00A860A4" w:rsidRPr="00C20B08" w:rsidRDefault="00A860A4" w:rsidP="00A860A4">
            <w:pPr>
              <w:jc w:val="center"/>
              <w:rPr>
                <w:rFonts w:ascii="Garamond" w:hAnsi="Garamond"/>
              </w:rPr>
            </w:pPr>
            <w:r w:rsidRPr="00C20B08">
              <w:rPr>
                <w:rFonts w:ascii="Garamond" w:hAnsi="Garamond"/>
              </w:rPr>
              <w:t>C0010</w:t>
            </w:r>
            <w:r w:rsidRPr="00C20B08">
              <w:rPr>
                <w:rFonts w:ascii="Garamond" w:hAnsi="Garamond"/>
              </w:rPr>
              <w:tab/>
            </w:r>
          </w:p>
        </w:tc>
        <w:tc>
          <w:tcPr>
            <w:tcW w:w="6352" w:type="dxa"/>
            <w:tcBorders>
              <w:top w:val="nil"/>
              <w:left w:val="single" w:sz="4" w:space="0" w:color="auto"/>
              <w:bottom w:val="single" w:sz="4" w:space="0" w:color="auto"/>
              <w:right w:val="single" w:sz="4" w:space="0" w:color="auto"/>
            </w:tcBorders>
          </w:tcPr>
          <w:p w14:paraId="13BF46EA" w14:textId="77777777" w:rsidR="00A860A4" w:rsidRPr="00C20B08" w:rsidRDefault="00A860A4" w:rsidP="00A860A4">
            <w:pPr>
              <w:rPr>
                <w:rFonts w:ascii="Garamond" w:hAnsi="Garamond"/>
              </w:rPr>
            </w:pPr>
            <w:r w:rsidRPr="00C20B08">
              <w:rPr>
                <w:rFonts w:ascii="Garamond" w:hAnsi="Garamond"/>
              </w:rPr>
              <w:t>Le code d’identification d</w:t>
            </w:r>
            <w:r>
              <w:rPr>
                <w:rFonts w:ascii="Garamond" w:hAnsi="Garamond"/>
              </w:rPr>
              <w:t xml:space="preserve">u dérivé </w:t>
            </w:r>
            <w:r w:rsidRPr="00C20B08">
              <w:rPr>
                <w:rFonts w:ascii="Garamond" w:hAnsi="Garamond"/>
              </w:rPr>
              <w:t>peut être :</w:t>
            </w:r>
          </w:p>
          <w:p w14:paraId="2C103449" w14:textId="77777777" w:rsidR="00A860A4" w:rsidRPr="00C20B08" w:rsidRDefault="00A860A4" w:rsidP="00A860A4">
            <w:pPr>
              <w:rPr>
                <w:rFonts w:ascii="Garamond" w:hAnsi="Garamond"/>
              </w:rPr>
            </w:pPr>
            <w:r w:rsidRPr="00C20B08">
              <w:rPr>
                <w:rFonts w:ascii="Garamond" w:hAnsi="Garamond"/>
              </w:rPr>
              <w:t>- Un code ISIN (catégorie ISO 6166)</w:t>
            </w:r>
          </w:p>
          <w:p w14:paraId="04B2A49F" w14:textId="77777777" w:rsidR="00A860A4" w:rsidRPr="00C20B08" w:rsidRDefault="00A860A4" w:rsidP="00A860A4">
            <w:pPr>
              <w:rPr>
                <w:rFonts w:ascii="Garamond" w:hAnsi="Garamond"/>
              </w:rPr>
            </w:pPr>
            <w:r w:rsidRPr="00C20B08">
              <w:rPr>
                <w:rFonts w:ascii="Garamond" w:hAnsi="Garamond"/>
              </w:rPr>
              <w:t>Si ce dernier n’est pas disponible :</w:t>
            </w:r>
          </w:p>
          <w:p w14:paraId="546221E8" w14:textId="77777777" w:rsidR="00A860A4" w:rsidRPr="00C20B08" w:rsidRDefault="00A860A4" w:rsidP="00A860A4">
            <w:pPr>
              <w:pStyle w:val="Paragraphedeliste"/>
              <w:numPr>
                <w:ilvl w:val="0"/>
                <w:numId w:val="1"/>
              </w:numPr>
              <w:rPr>
                <w:rFonts w:ascii="Garamond" w:hAnsi="Garamond"/>
              </w:rPr>
            </w:pPr>
            <w:r w:rsidRPr="00C20B08">
              <w:rPr>
                <w:rFonts w:ascii="Garamond" w:hAnsi="Garamond"/>
              </w:rPr>
              <w:t>Autres types de codes reconnus (</w:t>
            </w:r>
            <w:proofErr w:type="spellStart"/>
            <w:r w:rsidRPr="00C20B08">
              <w:rPr>
                <w:rFonts w:ascii="Garamond" w:hAnsi="Garamond"/>
              </w:rPr>
              <w:t>e.g</w:t>
            </w:r>
            <w:proofErr w:type="spellEnd"/>
            <w:r w:rsidRPr="00C20B08">
              <w:rPr>
                <w:rFonts w:ascii="Garamond" w:hAnsi="Garamond"/>
              </w:rPr>
              <w:t xml:space="preserve">.: CUSIP, Bloomberg </w:t>
            </w:r>
            <w:proofErr w:type="spellStart"/>
            <w:r w:rsidRPr="00C20B08">
              <w:rPr>
                <w:rFonts w:ascii="Garamond" w:hAnsi="Garamond"/>
              </w:rPr>
              <w:t>Ticker</w:t>
            </w:r>
            <w:proofErr w:type="spellEnd"/>
            <w:r w:rsidRPr="00C20B08">
              <w:rPr>
                <w:rFonts w:ascii="Garamond" w:hAnsi="Garamond"/>
              </w:rPr>
              <w:t xml:space="preserve">, Reuters RIC) </w:t>
            </w:r>
            <w:proofErr w:type="spellStart"/>
            <w:r w:rsidRPr="00C20B08">
              <w:rPr>
                <w:rFonts w:ascii="Garamond" w:hAnsi="Garamond"/>
              </w:rPr>
              <w:t>cf</w:t>
            </w:r>
            <w:proofErr w:type="spellEnd"/>
            <w:r w:rsidRPr="00C20B08">
              <w:rPr>
                <w:rFonts w:ascii="Garamond" w:hAnsi="Garamond"/>
              </w:rPr>
              <w:t xml:space="preserve"> liste ci-dessous</w:t>
            </w:r>
          </w:p>
          <w:p w14:paraId="53BB9952" w14:textId="77777777" w:rsidR="00A860A4" w:rsidRPr="00410AF2" w:rsidRDefault="00A860A4" w:rsidP="00A860A4">
            <w:pPr>
              <w:pStyle w:val="Paragraphedeliste"/>
              <w:numPr>
                <w:ilvl w:val="0"/>
                <w:numId w:val="1"/>
              </w:numPr>
              <w:rPr>
                <w:rFonts w:ascii="Garamond" w:hAnsi="Garamond"/>
              </w:rPr>
            </w:pPr>
            <w:r w:rsidRPr="00C20B08">
              <w:rPr>
                <w:rFonts w:ascii="Garamond" w:hAnsi="Garamond"/>
              </w:rPr>
              <w:t xml:space="preserve">Si les types de codes reconnus ne sont pas applicables, un code unique est attribué </w:t>
            </w:r>
            <w:r>
              <w:rPr>
                <w:rFonts w:ascii="Garamond" w:hAnsi="Garamond"/>
              </w:rPr>
              <w:t>aux dérivés</w:t>
            </w:r>
            <w:r w:rsidRPr="00C20B08">
              <w:rPr>
                <w:rFonts w:ascii="Garamond" w:hAnsi="Garamond"/>
              </w:rPr>
              <w:t xml:space="preserve">. </w:t>
            </w:r>
            <w:r w:rsidRPr="00410AF2">
              <w:rPr>
                <w:rFonts w:ascii="Garamond" w:hAnsi="Garamond"/>
              </w:rPr>
              <w:t xml:space="preserve">Cette référence doit être conservée pour les remises </w:t>
            </w:r>
            <w:r w:rsidR="00150D80" w:rsidRPr="00410AF2">
              <w:rPr>
                <w:rFonts w:ascii="Garamond" w:hAnsi="Garamond"/>
              </w:rPr>
              <w:t>suivantes.</w:t>
            </w:r>
          </w:p>
          <w:p w14:paraId="5EF5C909" w14:textId="77777777" w:rsidR="00A860A4" w:rsidRPr="00C20B08" w:rsidRDefault="00A860A4" w:rsidP="00A860A4">
            <w:pPr>
              <w:rPr>
                <w:rFonts w:ascii="Garamond" w:hAnsi="Garamond"/>
              </w:rPr>
            </w:pPr>
            <w:r>
              <w:rPr>
                <w:rFonts w:ascii="Garamond" w:hAnsi="Garamond"/>
              </w:rPr>
              <w:t>Quand le même code de dérivé doit être utilisé pour des dérivés émis dans deux (voir plus) devises différentes, le dérivé</w:t>
            </w:r>
            <w:r w:rsidRPr="00C20B08">
              <w:rPr>
                <w:rFonts w:ascii="Garamond" w:hAnsi="Garamond"/>
              </w:rPr>
              <w:t xml:space="preserve"> doit être identifié par devise. Le code d’identification d</w:t>
            </w:r>
            <w:r>
              <w:rPr>
                <w:rFonts w:ascii="Garamond" w:hAnsi="Garamond"/>
              </w:rPr>
              <w:t xml:space="preserve">u dérivé </w:t>
            </w:r>
            <w:r w:rsidRPr="00C20B08">
              <w:rPr>
                <w:rFonts w:ascii="Garamond" w:hAnsi="Garamond"/>
              </w:rPr>
              <w:t>+ le code alphabétique de la devise</w:t>
            </w:r>
            <w:r>
              <w:rPr>
                <w:rFonts w:ascii="Garamond" w:hAnsi="Garamond"/>
              </w:rPr>
              <w:t xml:space="preserve"> </w:t>
            </w:r>
            <w:r w:rsidR="00150D80" w:rsidRPr="00C20B08">
              <w:rPr>
                <w:rFonts w:ascii="Garamond" w:hAnsi="Garamond"/>
              </w:rPr>
              <w:t>(ISO</w:t>
            </w:r>
            <w:r w:rsidRPr="00C20B08">
              <w:rPr>
                <w:rFonts w:ascii="Garamond" w:hAnsi="Garamond"/>
              </w:rPr>
              <w:t xml:space="preserve"> 4217).</w:t>
            </w:r>
          </w:p>
          <w:p w14:paraId="162E4DD7" w14:textId="77777777" w:rsidR="00A860A4" w:rsidRPr="00C20B08" w:rsidRDefault="00A860A4" w:rsidP="00A860A4">
            <w:pPr>
              <w:rPr>
                <w:rFonts w:ascii="Garamond" w:hAnsi="Garamond"/>
                <w:lang w:val="en-US"/>
              </w:rPr>
            </w:pPr>
            <w:r w:rsidRPr="00C20B08">
              <w:rPr>
                <w:rFonts w:ascii="Garamond" w:hAnsi="Garamond"/>
              </w:rPr>
              <w:t>Exemple : “</w:t>
            </w:r>
            <w:proofErr w:type="spellStart"/>
            <w:r w:rsidRPr="00C20B08">
              <w:rPr>
                <w:rFonts w:ascii="Garamond" w:hAnsi="Garamond"/>
              </w:rPr>
              <w:t>code+EUR</w:t>
            </w:r>
            <w:proofErr w:type="spellEnd"/>
            <w:r w:rsidRPr="00C20B08">
              <w:rPr>
                <w:rFonts w:ascii="Garamond" w:hAnsi="Garamond"/>
              </w:rPr>
              <w:t>”</w:t>
            </w:r>
          </w:p>
        </w:tc>
      </w:tr>
      <w:tr w:rsidR="00A860A4" w:rsidRPr="00C20B08" w14:paraId="6AA61AF3"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34333B27" w14:textId="77777777" w:rsidR="00A860A4" w:rsidRPr="00C20B08" w:rsidRDefault="00A860A4" w:rsidP="00A860A4">
            <w:pPr>
              <w:rPr>
                <w:rFonts w:ascii="Garamond" w:hAnsi="Garamond"/>
                <w:bCs/>
              </w:rPr>
            </w:pPr>
            <w:r w:rsidRPr="000B60FD">
              <w:rPr>
                <w:rFonts w:ascii="Garamond" w:hAnsi="Garamond"/>
              </w:rPr>
              <w:t>T</w:t>
            </w:r>
            <w:r>
              <w:rPr>
                <w:rFonts w:ascii="Garamond" w:hAnsi="Garamond"/>
              </w:rPr>
              <w:t>ype du code d’identification du dérivé</w:t>
            </w:r>
          </w:p>
        </w:tc>
        <w:tc>
          <w:tcPr>
            <w:tcW w:w="947" w:type="dxa"/>
            <w:tcBorders>
              <w:top w:val="nil"/>
              <w:left w:val="single" w:sz="4" w:space="0" w:color="auto"/>
              <w:bottom w:val="single" w:sz="4" w:space="0" w:color="auto"/>
              <w:right w:val="single" w:sz="4" w:space="0" w:color="auto"/>
            </w:tcBorders>
            <w:shd w:val="clear" w:color="auto" w:fill="auto"/>
            <w:vAlign w:val="center"/>
          </w:tcPr>
          <w:p w14:paraId="2C710EF3" w14:textId="77777777" w:rsidR="00A860A4" w:rsidRDefault="00A860A4" w:rsidP="00A860A4">
            <w:pPr>
              <w:jc w:val="center"/>
              <w:rPr>
                <w:rFonts w:ascii="Garamond" w:hAnsi="Garamond"/>
              </w:rPr>
            </w:pPr>
            <w:r>
              <w:rPr>
                <w:rFonts w:ascii="Garamond" w:hAnsi="Garamond"/>
              </w:rPr>
              <w:t>C0020</w:t>
            </w:r>
          </w:p>
        </w:tc>
        <w:tc>
          <w:tcPr>
            <w:tcW w:w="6352" w:type="dxa"/>
            <w:tcBorders>
              <w:top w:val="nil"/>
              <w:left w:val="single" w:sz="4" w:space="0" w:color="auto"/>
              <w:bottom w:val="single" w:sz="4" w:space="0" w:color="auto"/>
              <w:right w:val="single" w:sz="4" w:space="0" w:color="auto"/>
            </w:tcBorders>
          </w:tcPr>
          <w:p w14:paraId="08575A92" w14:textId="77777777" w:rsidR="00A860A4" w:rsidRDefault="00A860A4" w:rsidP="00535385">
            <w:pPr>
              <w:spacing w:after="0"/>
              <w:rPr>
                <w:rFonts w:ascii="Garamond" w:hAnsi="Garamond"/>
              </w:rPr>
            </w:pPr>
            <w:r w:rsidRPr="00C20B08">
              <w:rPr>
                <w:rFonts w:ascii="Garamond" w:hAnsi="Garamond"/>
              </w:rPr>
              <w:t xml:space="preserve">Les principaux types de codes sont : </w:t>
            </w:r>
          </w:p>
          <w:p w14:paraId="1A3A41CC" w14:textId="77777777" w:rsidR="00A02E66" w:rsidRPr="00C20B08" w:rsidRDefault="00A02E66" w:rsidP="00535385">
            <w:pPr>
              <w:spacing w:after="0"/>
              <w:rPr>
                <w:rFonts w:ascii="Garamond" w:hAnsi="Garamond"/>
              </w:rPr>
            </w:pPr>
          </w:p>
          <w:p w14:paraId="47FAEFC6" w14:textId="77777777" w:rsidR="00A860A4" w:rsidRPr="00C20B08" w:rsidRDefault="00A860A4" w:rsidP="00535385">
            <w:pPr>
              <w:spacing w:after="0"/>
              <w:rPr>
                <w:rFonts w:ascii="Garamond" w:hAnsi="Garamond"/>
                <w:lang w:val="en-US"/>
              </w:rPr>
            </w:pPr>
            <w:r w:rsidRPr="00C20B08">
              <w:rPr>
                <w:rFonts w:ascii="Garamond" w:hAnsi="Garamond"/>
                <w:lang w:val="en-US"/>
              </w:rPr>
              <w:t>1 - ISO 6166 = ISIN code</w:t>
            </w:r>
          </w:p>
          <w:p w14:paraId="00CD4F68" w14:textId="77777777" w:rsidR="00A860A4" w:rsidRPr="00C20B08" w:rsidRDefault="00A860A4" w:rsidP="00535385">
            <w:pPr>
              <w:spacing w:after="0"/>
              <w:rPr>
                <w:rFonts w:ascii="Garamond" w:hAnsi="Garamond"/>
                <w:lang w:val="en-US"/>
              </w:rPr>
            </w:pPr>
            <w:r w:rsidRPr="00C20B08">
              <w:rPr>
                <w:rFonts w:ascii="Garamond" w:hAnsi="Garamond"/>
                <w:lang w:val="en-US"/>
              </w:rPr>
              <w:t>2 - CUSIP (The Committee on Uniform Securities Identification Procedures) (Canada)</w:t>
            </w:r>
          </w:p>
          <w:p w14:paraId="5F6BFF67" w14:textId="77777777" w:rsidR="00A860A4" w:rsidRPr="00C20B08" w:rsidRDefault="00A860A4" w:rsidP="00535385">
            <w:pPr>
              <w:spacing w:after="0"/>
              <w:rPr>
                <w:rFonts w:ascii="Garamond" w:hAnsi="Garamond"/>
                <w:lang w:val="en-US"/>
              </w:rPr>
            </w:pPr>
            <w:r w:rsidRPr="00C20B08">
              <w:rPr>
                <w:rFonts w:ascii="Garamond" w:hAnsi="Garamond"/>
                <w:lang w:val="en-US"/>
              </w:rPr>
              <w:t>3 - SEDOL (Stock Exchange Daily Official List) (Code du London Stock Exchange)</w:t>
            </w:r>
          </w:p>
          <w:p w14:paraId="4D31FC38" w14:textId="77777777" w:rsidR="00A860A4" w:rsidRPr="00C20B08" w:rsidRDefault="00A860A4" w:rsidP="00535385">
            <w:pPr>
              <w:spacing w:after="0"/>
              <w:rPr>
                <w:rFonts w:ascii="Garamond" w:hAnsi="Garamond"/>
              </w:rPr>
            </w:pPr>
            <w:r w:rsidRPr="00C20B08">
              <w:rPr>
                <w:rFonts w:ascii="Garamond" w:hAnsi="Garamond"/>
              </w:rPr>
              <w:t>4 – WKN (</w:t>
            </w:r>
            <w:proofErr w:type="spellStart"/>
            <w:r w:rsidRPr="00C20B08">
              <w:rPr>
                <w:rFonts w:ascii="Garamond" w:hAnsi="Garamond"/>
              </w:rPr>
              <w:t>Wertpapier</w:t>
            </w:r>
            <w:proofErr w:type="spellEnd"/>
            <w:r w:rsidRPr="00C20B08">
              <w:rPr>
                <w:rFonts w:ascii="Garamond" w:hAnsi="Garamond"/>
              </w:rPr>
              <w:t xml:space="preserve"> Kenn-</w:t>
            </w:r>
            <w:proofErr w:type="spellStart"/>
            <w:r w:rsidRPr="00C20B08">
              <w:rPr>
                <w:rFonts w:ascii="Garamond" w:hAnsi="Garamond"/>
              </w:rPr>
              <w:t>Nummer</w:t>
            </w:r>
            <w:proofErr w:type="spellEnd"/>
            <w:r w:rsidRPr="00C20B08">
              <w:rPr>
                <w:rFonts w:ascii="Garamond" w:hAnsi="Garamond"/>
              </w:rPr>
              <w:t>) (Code allemand)</w:t>
            </w:r>
          </w:p>
          <w:p w14:paraId="11A5C192" w14:textId="77777777" w:rsidR="00A860A4" w:rsidRPr="00C20B08" w:rsidRDefault="00A860A4" w:rsidP="00535385">
            <w:pPr>
              <w:spacing w:after="0"/>
              <w:rPr>
                <w:rFonts w:ascii="Garamond" w:hAnsi="Garamond"/>
                <w:lang w:val="en-US"/>
              </w:rPr>
            </w:pPr>
            <w:r w:rsidRPr="00C20B08">
              <w:rPr>
                <w:rFonts w:ascii="Garamond" w:hAnsi="Garamond"/>
                <w:lang w:val="en-US"/>
              </w:rPr>
              <w:t>5 - Bloomberg Ticker (Code de Bloomberg)</w:t>
            </w:r>
          </w:p>
          <w:p w14:paraId="1EFFAD9F" w14:textId="77777777" w:rsidR="00A860A4" w:rsidRPr="00C20B08" w:rsidRDefault="00A860A4" w:rsidP="00535385">
            <w:pPr>
              <w:spacing w:after="0"/>
              <w:rPr>
                <w:rFonts w:ascii="Garamond" w:hAnsi="Garamond"/>
                <w:lang w:val="en-US"/>
              </w:rPr>
            </w:pPr>
            <w:r w:rsidRPr="00C20B08">
              <w:rPr>
                <w:rFonts w:ascii="Garamond" w:hAnsi="Garamond"/>
                <w:lang w:val="en-US"/>
              </w:rPr>
              <w:t>6 - BBGID (The Bloomberg Global ID)</w:t>
            </w:r>
          </w:p>
          <w:p w14:paraId="51B46D59" w14:textId="77777777" w:rsidR="00A860A4" w:rsidRPr="00C20B08" w:rsidRDefault="00A860A4" w:rsidP="00535385">
            <w:pPr>
              <w:spacing w:after="0"/>
              <w:rPr>
                <w:rFonts w:ascii="Garamond" w:hAnsi="Garamond"/>
              </w:rPr>
            </w:pPr>
            <w:r w:rsidRPr="00C20B08">
              <w:rPr>
                <w:rFonts w:ascii="Garamond" w:hAnsi="Garamond"/>
              </w:rPr>
              <w:t>7 - Reuters RIC (Reuters instrument code)</w:t>
            </w:r>
          </w:p>
          <w:p w14:paraId="11D3DF34" w14:textId="77777777" w:rsidR="00A860A4" w:rsidRPr="00C20B08" w:rsidRDefault="00A860A4" w:rsidP="00535385">
            <w:pPr>
              <w:spacing w:after="0"/>
              <w:rPr>
                <w:rFonts w:ascii="Garamond" w:hAnsi="Garamond"/>
              </w:rPr>
            </w:pPr>
            <w:r w:rsidRPr="00C20B08">
              <w:rPr>
                <w:rFonts w:ascii="Garamond" w:hAnsi="Garamond"/>
              </w:rPr>
              <w:t>8 – FIGI (Financial Instrument Global Identifier)</w:t>
            </w:r>
          </w:p>
          <w:p w14:paraId="082688A3" w14:textId="77777777" w:rsidR="00A860A4" w:rsidRPr="00C20B08" w:rsidRDefault="00A860A4" w:rsidP="00535385">
            <w:pPr>
              <w:spacing w:after="0"/>
              <w:rPr>
                <w:rFonts w:ascii="Garamond" w:hAnsi="Garamond"/>
              </w:rPr>
            </w:pPr>
            <w:r w:rsidRPr="00C20B08">
              <w:rPr>
                <w:rFonts w:ascii="Garamond" w:hAnsi="Garamond"/>
              </w:rPr>
              <w:t xml:space="preserve">9 – Autres codes fournis par les membres de </w:t>
            </w:r>
            <w:proofErr w:type="gramStart"/>
            <w:r w:rsidRPr="00C20B08">
              <w:rPr>
                <w:rFonts w:ascii="Garamond" w:hAnsi="Garamond"/>
              </w:rPr>
              <w:t>l’ »</w:t>
            </w:r>
            <w:proofErr w:type="gramEnd"/>
            <w:r w:rsidRPr="00C20B08">
              <w:rPr>
                <w:rFonts w:ascii="Garamond" w:hAnsi="Garamond"/>
              </w:rPr>
              <w:t xml:space="preserve">Association of National </w:t>
            </w:r>
            <w:proofErr w:type="spellStart"/>
            <w:r w:rsidRPr="00C20B08">
              <w:rPr>
                <w:rFonts w:ascii="Garamond" w:hAnsi="Garamond"/>
              </w:rPr>
              <w:t>Numbering</w:t>
            </w:r>
            <w:proofErr w:type="spellEnd"/>
            <w:r w:rsidRPr="00C20B08">
              <w:rPr>
                <w:rFonts w:ascii="Garamond" w:hAnsi="Garamond"/>
              </w:rPr>
              <w:t xml:space="preserve"> </w:t>
            </w:r>
            <w:proofErr w:type="spellStart"/>
            <w:r w:rsidRPr="00C20B08">
              <w:rPr>
                <w:rFonts w:ascii="Garamond" w:hAnsi="Garamond"/>
              </w:rPr>
              <w:t>Agencies</w:t>
            </w:r>
            <w:proofErr w:type="spellEnd"/>
            <w:r w:rsidRPr="00C20B08">
              <w:rPr>
                <w:rFonts w:ascii="Garamond" w:hAnsi="Garamond"/>
              </w:rPr>
              <w:t> »</w:t>
            </w:r>
          </w:p>
          <w:p w14:paraId="49549847" w14:textId="77777777" w:rsidR="00A860A4" w:rsidRDefault="00A860A4" w:rsidP="00535385">
            <w:pPr>
              <w:spacing w:after="0"/>
              <w:rPr>
                <w:rFonts w:ascii="Garamond" w:hAnsi="Garamond"/>
              </w:rPr>
            </w:pPr>
            <w:r w:rsidRPr="00B67BF6">
              <w:rPr>
                <w:rFonts w:ascii="Garamond" w:hAnsi="Garamond"/>
              </w:rPr>
              <w:t>99 – Code attribué</w:t>
            </w:r>
          </w:p>
          <w:p w14:paraId="4D62A513" w14:textId="77777777" w:rsidR="00A860A4" w:rsidRPr="00B67BF6" w:rsidRDefault="00A860A4" w:rsidP="00535385">
            <w:pPr>
              <w:spacing w:after="0"/>
              <w:rPr>
                <w:rFonts w:ascii="Garamond" w:hAnsi="Garamond"/>
              </w:rPr>
            </w:pPr>
          </w:p>
          <w:p w14:paraId="5C63961A" w14:textId="712D3FA2" w:rsidR="00A860A4" w:rsidRDefault="00A860A4" w:rsidP="00A860A4">
            <w:pPr>
              <w:rPr>
                <w:rFonts w:ascii="Garamond" w:hAnsi="Garamond"/>
              </w:rPr>
            </w:pPr>
            <w:r>
              <w:rPr>
                <w:rFonts w:ascii="Garamond" w:hAnsi="Garamond"/>
              </w:rPr>
              <w:t>Quand le même code du dérivé doit être utilisé pour des dérivés émis dans deux (voir plus) devises différentes, le dérivé</w:t>
            </w:r>
            <w:r w:rsidRPr="00C20B08">
              <w:rPr>
                <w:rFonts w:ascii="Garamond" w:hAnsi="Garamond"/>
              </w:rPr>
              <w:t xml:space="preserve"> doit être identifié par devi</w:t>
            </w:r>
            <w:r>
              <w:rPr>
                <w:rFonts w:ascii="Garamond" w:hAnsi="Garamond"/>
              </w:rPr>
              <w:t xml:space="preserve">se. Le code d’identification du dérivé </w:t>
            </w:r>
            <w:r w:rsidRPr="00C20B08">
              <w:rPr>
                <w:rFonts w:ascii="Garamond" w:hAnsi="Garamond"/>
              </w:rPr>
              <w:t>+ le code alphabétique de la devise</w:t>
            </w:r>
            <w:r>
              <w:rPr>
                <w:rFonts w:ascii="Garamond" w:hAnsi="Garamond"/>
              </w:rPr>
              <w:t xml:space="preserve"> </w:t>
            </w:r>
            <w:r w:rsidRPr="00C20B08">
              <w:rPr>
                <w:rFonts w:ascii="Garamond" w:hAnsi="Garamond"/>
              </w:rPr>
              <w:t>(ISO 4217).</w:t>
            </w:r>
            <w:r>
              <w:rPr>
                <w:rFonts w:ascii="Garamond" w:hAnsi="Garamond"/>
              </w:rPr>
              <w:t xml:space="preserve"> Ceci comme dans l’exemple suivant ‘</w:t>
            </w:r>
            <w:proofErr w:type="spellStart"/>
            <w:r>
              <w:rPr>
                <w:rFonts w:ascii="Garamond" w:hAnsi="Garamond"/>
              </w:rPr>
              <w:t>code+EUR</w:t>
            </w:r>
            <w:proofErr w:type="spellEnd"/>
            <w:r>
              <w:rPr>
                <w:rFonts w:ascii="Garamond" w:hAnsi="Garamond"/>
              </w:rPr>
              <w:t>’.</w:t>
            </w:r>
          </w:p>
          <w:p w14:paraId="7382593B" w14:textId="77777777" w:rsidR="00A860A4" w:rsidRPr="00C20B08" w:rsidRDefault="00A860A4" w:rsidP="00A860A4">
            <w:pPr>
              <w:rPr>
                <w:rFonts w:ascii="Garamond" w:hAnsi="Garamond"/>
              </w:rPr>
            </w:pPr>
            <w:r>
              <w:rPr>
                <w:rFonts w:ascii="Garamond" w:hAnsi="Garamond"/>
              </w:rPr>
              <w:t xml:space="preserve">Dans ce cas,  le type de code d’identification du dérivé est </w:t>
            </w:r>
            <w:r w:rsidRPr="00C20B08">
              <w:rPr>
                <w:rFonts w:ascii="Garamond" w:hAnsi="Garamond"/>
              </w:rPr>
              <w:t>l’option 9</w:t>
            </w:r>
            <w:r>
              <w:rPr>
                <w:rFonts w:ascii="Garamond" w:hAnsi="Garamond"/>
              </w:rPr>
              <w:t>9 (Code attribué) avec option du code du dérivé</w:t>
            </w:r>
            <w:r w:rsidRPr="00C20B08">
              <w:rPr>
                <w:rFonts w:ascii="Garamond" w:hAnsi="Garamond"/>
              </w:rPr>
              <w:t>,</w:t>
            </w:r>
            <w:r>
              <w:rPr>
                <w:rFonts w:ascii="Garamond" w:hAnsi="Garamond"/>
              </w:rPr>
              <w:t xml:space="preserve"> comme dans l’exemple suivant avec un dérivé identifié selon son code ISIN</w:t>
            </w:r>
            <w:r w:rsidRPr="00C20B08">
              <w:rPr>
                <w:rFonts w:ascii="Garamond" w:hAnsi="Garamond"/>
              </w:rPr>
              <w:t xml:space="preserve"> Ex :  ISIN </w:t>
            </w:r>
            <w:proofErr w:type="spellStart"/>
            <w:r w:rsidRPr="00C20B08">
              <w:rPr>
                <w:rFonts w:ascii="Garamond" w:hAnsi="Garamond"/>
              </w:rPr>
              <w:t>code+currency</w:t>
            </w:r>
            <w:proofErr w:type="spellEnd"/>
            <w:r w:rsidRPr="00C20B08">
              <w:rPr>
                <w:rFonts w:ascii="Garamond" w:hAnsi="Garamond"/>
              </w:rPr>
              <w:t>: “9</w:t>
            </w:r>
            <w:r>
              <w:rPr>
                <w:rFonts w:ascii="Garamond" w:hAnsi="Garamond"/>
              </w:rPr>
              <w:t>9</w:t>
            </w:r>
            <w:r w:rsidRPr="00C20B08">
              <w:rPr>
                <w:rFonts w:ascii="Garamond" w:hAnsi="Garamond"/>
              </w:rPr>
              <w:t>/1”.</w:t>
            </w:r>
          </w:p>
        </w:tc>
      </w:tr>
      <w:tr w:rsidR="00F31F46" w:rsidRPr="00C20B08" w14:paraId="2A67D97E"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0164D97D" w14:textId="77777777" w:rsidR="00F31F46" w:rsidRPr="00C20B08" w:rsidRDefault="00F31F46" w:rsidP="00F31F46">
            <w:pPr>
              <w:rPr>
                <w:rFonts w:ascii="Garamond" w:hAnsi="Garamond"/>
                <w:bCs/>
              </w:rPr>
            </w:pPr>
            <w:r w:rsidRPr="00F31F46">
              <w:rPr>
                <w:rFonts w:ascii="Garamond" w:hAnsi="Garamond"/>
                <w:bCs/>
              </w:rPr>
              <w:t>Nom de la contrepartie</w:t>
            </w:r>
          </w:p>
        </w:tc>
        <w:tc>
          <w:tcPr>
            <w:tcW w:w="947" w:type="dxa"/>
            <w:tcBorders>
              <w:top w:val="nil"/>
              <w:left w:val="single" w:sz="4" w:space="0" w:color="auto"/>
              <w:bottom w:val="single" w:sz="4" w:space="0" w:color="auto"/>
              <w:right w:val="single" w:sz="4" w:space="0" w:color="auto"/>
            </w:tcBorders>
            <w:shd w:val="clear" w:color="auto" w:fill="auto"/>
            <w:vAlign w:val="center"/>
          </w:tcPr>
          <w:p w14:paraId="14F83188" w14:textId="77777777" w:rsidR="00F31F46" w:rsidRPr="00C20B08" w:rsidRDefault="00F31F46" w:rsidP="00F31F46">
            <w:pPr>
              <w:jc w:val="center"/>
              <w:rPr>
                <w:rFonts w:ascii="Garamond" w:hAnsi="Garamond"/>
              </w:rPr>
            </w:pPr>
            <w:r>
              <w:rPr>
                <w:rFonts w:ascii="Garamond" w:hAnsi="Garamond"/>
              </w:rPr>
              <w:t>C0260</w:t>
            </w:r>
          </w:p>
        </w:tc>
        <w:tc>
          <w:tcPr>
            <w:tcW w:w="6352" w:type="dxa"/>
            <w:tcBorders>
              <w:top w:val="nil"/>
              <w:left w:val="single" w:sz="4" w:space="0" w:color="auto"/>
              <w:bottom w:val="single" w:sz="4" w:space="0" w:color="auto"/>
              <w:right w:val="single" w:sz="4" w:space="0" w:color="auto"/>
            </w:tcBorders>
          </w:tcPr>
          <w:p w14:paraId="1090ECD3" w14:textId="77777777" w:rsidR="00F31F46" w:rsidRDefault="00F31F46" w:rsidP="00535385">
            <w:pPr>
              <w:spacing w:after="0"/>
              <w:jc w:val="both"/>
              <w:rPr>
                <w:rFonts w:ascii="Times New Roman" w:hAnsi="Times New Roman" w:cs="Times New Roman"/>
                <w:sz w:val="20"/>
                <w:szCs w:val="20"/>
              </w:rPr>
            </w:pPr>
            <w:r w:rsidRPr="00D25610">
              <w:rPr>
                <w:rFonts w:ascii="Times New Roman" w:hAnsi="Times New Roman" w:cs="Times New Roman"/>
                <w:sz w:val="20"/>
                <w:szCs w:val="20"/>
              </w:rPr>
              <w:t>Nom de la contrepartie au dérivé. Indiquer le nom de l'entité enregistré dans la base de données des identifiants d'entité</w:t>
            </w:r>
            <w:r>
              <w:rPr>
                <w:rFonts w:ascii="Times New Roman" w:hAnsi="Times New Roman" w:cs="Times New Roman"/>
                <w:sz w:val="20"/>
                <w:szCs w:val="20"/>
              </w:rPr>
              <w:t xml:space="preserve"> </w:t>
            </w:r>
            <w:r w:rsidRPr="00D25610">
              <w:rPr>
                <w:rFonts w:ascii="Times New Roman" w:hAnsi="Times New Roman" w:cs="Times New Roman"/>
                <w:sz w:val="20"/>
                <w:szCs w:val="20"/>
              </w:rPr>
              <w:t>juridique (LEI) s'il existe. À défaut, indiquer la dénomination légale.</w:t>
            </w:r>
          </w:p>
          <w:p w14:paraId="22DA2565" w14:textId="77777777" w:rsidR="00F31F46" w:rsidRPr="00D25610" w:rsidRDefault="00F31F46" w:rsidP="00535385">
            <w:pPr>
              <w:spacing w:after="0"/>
              <w:jc w:val="both"/>
              <w:rPr>
                <w:rFonts w:ascii="Times New Roman" w:hAnsi="Times New Roman" w:cs="Times New Roman"/>
                <w:sz w:val="20"/>
                <w:szCs w:val="20"/>
              </w:rPr>
            </w:pPr>
          </w:p>
          <w:p w14:paraId="25D96182" w14:textId="77777777" w:rsidR="00F31F46" w:rsidRDefault="00F31F46" w:rsidP="00535385">
            <w:pPr>
              <w:spacing w:after="0"/>
              <w:jc w:val="both"/>
              <w:rPr>
                <w:rFonts w:ascii="Times New Roman" w:hAnsi="Times New Roman" w:cs="Times New Roman"/>
                <w:sz w:val="20"/>
                <w:szCs w:val="20"/>
              </w:rPr>
            </w:pPr>
            <w:r w:rsidRPr="00D25610">
              <w:rPr>
                <w:rFonts w:ascii="Times New Roman" w:hAnsi="Times New Roman" w:cs="Times New Roman"/>
                <w:sz w:val="20"/>
                <w:szCs w:val="20"/>
              </w:rPr>
              <w:t>L'entreprise doit tenir compte des éléments suivants:</w:t>
            </w:r>
          </w:p>
          <w:p w14:paraId="1F7E70D6" w14:textId="77777777" w:rsidR="00F31F46" w:rsidRPr="00D25610" w:rsidRDefault="00F31F46" w:rsidP="00535385">
            <w:pPr>
              <w:spacing w:after="0"/>
              <w:jc w:val="both"/>
              <w:rPr>
                <w:rFonts w:ascii="Times New Roman" w:hAnsi="Times New Roman" w:cs="Times New Roman"/>
                <w:sz w:val="20"/>
                <w:szCs w:val="20"/>
              </w:rPr>
            </w:pPr>
          </w:p>
          <w:p w14:paraId="50BB9134" w14:textId="77777777" w:rsidR="00F31F46" w:rsidRPr="00D25610" w:rsidRDefault="00F31F46" w:rsidP="00535385">
            <w:pPr>
              <w:spacing w:after="0"/>
              <w:jc w:val="both"/>
              <w:rPr>
                <w:rFonts w:ascii="Times New Roman" w:hAnsi="Times New Roman" w:cs="Times New Roman"/>
                <w:sz w:val="20"/>
                <w:szCs w:val="20"/>
              </w:rPr>
            </w:pPr>
            <w:r w:rsidRPr="00D25610">
              <w:rPr>
                <w:rFonts w:ascii="Times New Roman" w:hAnsi="Times New Roman" w:cs="Times New Roman"/>
                <w:sz w:val="20"/>
                <w:szCs w:val="20"/>
              </w:rPr>
              <w:t xml:space="preserve">—nom de la bourse d'échange pour les dérivés négociés en bourse; </w:t>
            </w:r>
            <w:proofErr w:type="gramStart"/>
            <w:r w:rsidRPr="00D25610">
              <w:rPr>
                <w:rFonts w:ascii="Times New Roman" w:hAnsi="Times New Roman" w:cs="Times New Roman"/>
                <w:sz w:val="20"/>
                <w:szCs w:val="20"/>
              </w:rPr>
              <w:t>ou</w:t>
            </w:r>
            <w:proofErr w:type="gramEnd"/>
          </w:p>
          <w:p w14:paraId="46BE56B6" w14:textId="77777777" w:rsidR="00F31F46" w:rsidRPr="00D25610" w:rsidRDefault="00F31F46" w:rsidP="00535385">
            <w:pPr>
              <w:spacing w:after="0"/>
              <w:jc w:val="both"/>
              <w:rPr>
                <w:rFonts w:ascii="Times New Roman" w:hAnsi="Times New Roman" w:cs="Times New Roman"/>
                <w:sz w:val="20"/>
                <w:szCs w:val="20"/>
              </w:rPr>
            </w:pPr>
            <w:r w:rsidRPr="00D25610">
              <w:rPr>
                <w:rFonts w:ascii="Times New Roman" w:hAnsi="Times New Roman" w:cs="Times New Roman"/>
                <w:sz w:val="20"/>
                <w:szCs w:val="20"/>
              </w:rPr>
              <w:t xml:space="preserve">—nom de la contrepartie centrale pour les dérivés de gré à gré qui sont compensés par l'intermédiaire d'une contrepartie centrale; </w:t>
            </w:r>
            <w:proofErr w:type="gramStart"/>
            <w:r w:rsidRPr="00D25610">
              <w:rPr>
                <w:rFonts w:ascii="Times New Roman" w:hAnsi="Times New Roman" w:cs="Times New Roman"/>
                <w:sz w:val="20"/>
                <w:szCs w:val="20"/>
              </w:rPr>
              <w:t>ou</w:t>
            </w:r>
            <w:proofErr w:type="gramEnd"/>
          </w:p>
          <w:p w14:paraId="0F116BF9" w14:textId="77777777" w:rsidR="00F31F46" w:rsidRPr="00C20B08" w:rsidRDefault="00F31F46" w:rsidP="00535385">
            <w:pPr>
              <w:spacing w:after="0"/>
              <w:rPr>
                <w:rFonts w:ascii="Garamond" w:hAnsi="Garamond"/>
              </w:rPr>
            </w:pPr>
            <w:r w:rsidRPr="00D25610">
              <w:rPr>
                <w:rFonts w:ascii="Times New Roman" w:hAnsi="Times New Roman" w:cs="Times New Roman"/>
                <w:sz w:val="20"/>
                <w:szCs w:val="20"/>
              </w:rPr>
              <w:t>—nom de la contrepartie contractuelle pour les autres dérivés de gré à gré.</w:t>
            </w:r>
          </w:p>
        </w:tc>
      </w:tr>
      <w:tr w:rsidR="00F31F46" w:rsidRPr="00C20B08" w14:paraId="01A0DE12"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6D0F8CCA" w14:textId="77777777" w:rsidR="00F31F46" w:rsidRPr="00C20B08" w:rsidRDefault="00F31F46" w:rsidP="00F31F46">
            <w:pPr>
              <w:rPr>
                <w:rFonts w:ascii="Garamond" w:hAnsi="Garamond"/>
                <w:bCs/>
              </w:rPr>
            </w:pPr>
            <w:r w:rsidRPr="00F31F46">
              <w:rPr>
                <w:rFonts w:ascii="Garamond" w:hAnsi="Garamond"/>
                <w:bCs/>
              </w:rPr>
              <w:t>Code d’identification de la contrepartie</w:t>
            </w:r>
          </w:p>
        </w:tc>
        <w:tc>
          <w:tcPr>
            <w:tcW w:w="947" w:type="dxa"/>
            <w:tcBorders>
              <w:top w:val="nil"/>
              <w:left w:val="single" w:sz="4" w:space="0" w:color="auto"/>
              <w:bottom w:val="single" w:sz="4" w:space="0" w:color="auto"/>
              <w:right w:val="single" w:sz="4" w:space="0" w:color="auto"/>
            </w:tcBorders>
            <w:shd w:val="clear" w:color="auto" w:fill="auto"/>
            <w:vAlign w:val="center"/>
          </w:tcPr>
          <w:p w14:paraId="08990F4E" w14:textId="77777777" w:rsidR="00F31F46" w:rsidRPr="00C20B08" w:rsidRDefault="00F31F46" w:rsidP="00F31F46">
            <w:pPr>
              <w:jc w:val="center"/>
              <w:rPr>
                <w:rFonts w:ascii="Garamond" w:hAnsi="Garamond"/>
              </w:rPr>
            </w:pPr>
            <w:r w:rsidRPr="00C20B08">
              <w:rPr>
                <w:rFonts w:ascii="Garamond" w:hAnsi="Garamond"/>
              </w:rPr>
              <w:t>C0</w:t>
            </w:r>
            <w:r>
              <w:rPr>
                <w:rFonts w:ascii="Garamond" w:hAnsi="Garamond"/>
              </w:rPr>
              <w:t>270</w:t>
            </w:r>
          </w:p>
        </w:tc>
        <w:tc>
          <w:tcPr>
            <w:tcW w:w="6352" w:type="dxa"/>
            <w:tcBorders>
              <w:top w:val="nil"/>
              <w:left w:val="single" w:sz="4" w:space="0" w:color="auto"/>
              <w:bottom w:val="single" w:sz="4" w:space="0" w:color="auto"/>
              <w:right w:val="single" w:sz="4" w:space="0" w:color="auto"/>
            </w:tcBorders>
          </w:tcPr>
          <w:p w14:paraId="72ECE8CB" w14:textId="77777777" w:rsidR="00F31F46" w:rsidRDefault="00F31F46" w:rsidP="00535385">
            <w:pPr>
              <w:spacing w:after="0"/>
              <w:jc w:val="both"/>
              <w:rPr>
                <w:rFonts w:ascii="Times New Roman" w:hAnsi="Times New Roman" w:cs="Times New Roman"/>
                <w:sz w:val="20"/>
                <w:szCs w:val="20"/>
              </w:rPr>
            </w:pPr>
            <w:r w:rsidRPr="00D25610">
              <w:rPr>
                <w:rFonts w:ascii="Times New Roman" w:hAnsi="Times New Roman" w:cs="Times New Roman"/>
                <w:sz w:val="20"/>
                <w:szCs w:val="20"/>
              </w:rPr>
              <w:t>Indiquer le code d'identification de la contrepartie en utilisant l'identifiant d'entité juridique (LEI) s'il existe.</w:t>
            </w:r>
          </w:p>
          <w:p w14:paraId="05AB9C33" w14:textId="77777777" w:rsidR="00F31F46" w:rsidRPr="00D25610" w:rsidRDefault="00F31F46" w:rsidP="00535385">
            <w:pPr>
              <w:spacing w:after="0"/>
              <w:jc w:val="both"/>
              <w:rPr>
                <w:rFonts w:ascii="Times New Roman" w:hAnsi="Times New Roman" w:cs="Times New Roman"/>
                <w:sz w:val="20"/>
                <w:szCs w:val="20"/>
              </w:rPr>
            </w:pPr>
          </w:p>
          <w:p w14:paraId="23940C19" w14:textId="77777777" w:rsidR="00F31F46" w:rsidRPr="00C20B08" w:rsidRDefault="00F31F46" w:rsidP="00535385">
            <w:pPr>
              <w:spacing w:after="0"/>
              <w:rPr>
                <w:rFonts w:ascii="Garamond" w:hAnsi="Garamond"/>
              </w:rPr>
            </w:pPr>
            <w:r w:rsidRPr="00D25610">
              <w:rPr>
                <w:rFonts w:ascii="Times New Roman" w:hAnsi="Times New Roman" w:cs="Times New Roman"/>
                <w:sz w:val="20"/>
                <w:szCs w:val="20"/>
              </w:rPr>
              <w:t>S'il n'existe pas, ne rien déclarer pour cet élément.</w:t>
            </w:r>
          </w:p>
        </w:tc>
      </w:tr>
      <w:tr w:rsidR="00F31F46" w:rsidRPr="00C20B08" w14:paraId="37235E76"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13741ADB" w14:textId="77777777" w:rsidR="00F31F46" w:rsidRPr="00C20B08" w:rsidRDefault="00F31F46" w:rsidP="00F31F46">
            <w:pPr>
              <w:rPr>
                <w:rFonts w:ascii="Garamond" w:hAnsi="Garamond"/>
                <w:bCs/>
              </w:rPr>
            </w:pPr>
            <w:r w:rsidRPr="00F31F46">
              <w:rPr>
                <w:rFonts w:ascii="Garamond" w:hAnsi="Garamond"/>
                <w:bCs/>
              </w:rPr>
              <w:t>Type de code d’identification de la contrepartie</w:t>
            </w:r>
          </w:p>
        </w:tc>
        <w:tc>
          <w:tcPr>
            <w:tcW w:w="947" w:type="dxa"/>
            <w:tcBorders>
              <w:top w:val="nil"/>
              <w:left w:val="single" w:sz="4" w:space="0" w:color="auto"/>
              <w:bottom w:val="single" w:sz="4" w:space="0" w:color="auto"/>
              <w:right w:val="single" w:sz="4" w:space="0" w:color="auto"/>
            </w:tcBorders>
            <w:shd w:val="clear" w:color="auto" w:fill="auto"/>
            <w:vAlign w:val="center"/>
          </w:tcPr>
          <w:p w14:paraId="6836ED84" w14:textId="77777777" w:rsidR="00F31F46" w:rsidRPr="00C20B08" w:rsidRDefault="00F31F46" w:rsidP="00F31F46">
            <w:pPr>
              <w:jc w:val="center"/>
              <w:rPr>
                <w:rFonts w:ascii="Garamond" w:hAnsi="Garamond"/>
              </w:rPr>
            </w:pPr>
            <w:r w:rsidRPr="00C20B08">
              <w:rPr>
                <w:rFonts w:ascii="Garamond" w:hAnsi="Garamond"/>
              </w:rPr>
              <w:t>C0</w:t>
            </w:r>
            <w:r>
              <w:rPr>
                <w:rFonts w:ascii="Garamond" w:hAnsi="Garamond"/>
              </w:rPr>
              <w:t>28</w:t>
            </w:r>
            <w:r w:rsidRPr="00C20B08">
              <w:rPr>
                <w:rFonts w:ascii="Garamond" w:hAnsi="Garamond"/>
              </w:rPr>
              <w:t>0</w:t>
            </w:r>
          </w:p>
        </w:tc>
        <w:tc>
          <w:tcPr>
            <w:tcW w:w="6352" w:type="dxa"/>
            <w:tcBorders>
              <w:top w:val="nil"/>
              <w:left w:val="single" w:sz="4" w:space="0" w:color="auto"/>
              <w:bottom w:val="single" w:sz="4" w:space="0" w:color="auto"/>
              <w:right w:val="single" w:sz="4" w:space="0" w:color="auto"/>
            </w:tcBorders>
          </w:tcPr>
          <w:p w14:paraId="1E42E1DF" w14:textId="77777777" w:rsidR="00F31F46" w:rsidRDefault="00F31F46" w:rsidP="00535385">
            <w:pPr>
              <w:spacing w:after="0"/>
              <w:jc w:val="both"/>
              <w:rPr>
                <w:rFonts w:ascii="Times New Roman" w:hAnsi="Times New Roman" w:cs="Times New Roman"/>
                <w:sz w:val="20"/>
                <w:szCs w:val="20"/>
              </w:rPr>
            </w:pPr>
            <w:r w:rsidRPr="00652D93">
              <w:rPr>
                <w:rFonts w:ascii="Times New Roman" w:hAnsi="Times New Roman" w:cs="Times New Roman"/>
                <w:sz w:val="20"/>
                <w:szCs w:val="20"/>
              </w:rPr>
              <w:t>Indiquer le type de code d'identification utilisé pour l'élément «</w:t>
            </w:r>
            <w:r>
              <w:rPr>
                <w:rFonts w:ascii="Times New Roman" w:hAnsi="Times New Roman" w:cs="Times New Roman"/>
                <w:sz w:val="20"/>
                <w:szCs w:val="20"/>
              </w:rPr>
              <w:t xml:space="preserve"> </w:t>
            </w:r>
            <w:r w:rsidRPr="00652D93">
              <w:rPr>
                <w:rFonts w:ascii="Times New Roman" w:hAnsi="Times New Roman" w:cs="Times New Roman"/>
                <w:sz w:val="20"/>
                <w:szCs w:val="20"/>
              </w:rPr>
              <w:t>code d'identification de la contrepartie</w:t>
            </w:r>
            <w:r>
              <w:rPr>
                <w:rFonts w:ascii="Times New Roman" w:hAnsi="Times New Roman" w:cs="Times New Roman"/>
                <w:sz w:val="20"/>
                <w:szCs w:val="20"/>
              </w:rPr>
              <w:t xml:space="preserve"> </w:t>
            </w:r>
            <w:r w:rsidRPr="00652D93">
              <w:rPr>
                <w:rFonts w:ascii="Times New Roman" w:hAnsi="Times New Roman" w:cs="Times New Roman"/>
                <w:sz w:val="20"/>
                <w:szCs w:val="20"/>
              </w:rPr>
              <w:t>». Choisir impérativement l'une des options suivantes:</w:t>
            </w:r>
          </w:p>
          <w:p w14:paraId="06DFDC04" w14:textId="77777777" w:rsidR="00F31F46" w:rsidRPr="00652D93" w:rsidRDefault="00F31F46" w:rsidP="00535385">
            <w:pPr>
              <w:spacing w:after="0"/>
              <w:jc w:val="both"/>
              <w:rPr>
                <w:rFonts w:ascii="Times New Roman" w:hAnsi="Times New Roman" w:cs="Times New Roman"/>
                <w:sz w:val="20"/>
                <w:szCs w:val="20"/>
              </w:rPr>
            </w:pPr>
          </w:p>
          <w:p w14:paraId="55083B2D" w14:textId="77777777" w:rsidR="00F31F46" w:rsidRPr="00652D93" w:rsidRDefault="00F31F46" w:rsidP="00535385">
            <w:pPr>
              <w:spacing w:after="0"/>
              <w:jc w:val="both"/>
              <w:rPr>
                <w:rFonts w:ascii="Times New Roman" w:hAnsi="Times New Roman" w:cs="Times New Roman"/>
                <w:sz w:val="20"/>
                <w:szCs w:val="20"/>
              </w:rPr>
            </w:pPr>
            <w:r w:rsidRPr="00652D93">
              <w:rPr>
                <w:rFonts w:ascii="Times New Roman" w:hAnsi="Times New Roman" w:cs="Times New Roman"/>
                <w:sz w:val="20"/>
                <w:szCs w:val="20"/>
              </w:rPr>
              <w:t>1</w:t>
            </w:r>
            <w:r>
              <w:rPr>
                <w:rFonts w:ascii="Times New Roman" w:hAnsi="Times New Roman" w:cs="Times New Roman"/>
                <w:sz w:val="20"/>
                <w:szCs w:val="20"/>
              </w:rPr>
              <w:t xml:space="preserve"> - </w:t>
            </w:r>
            <w:r w:rsidRPr="00652D93">
              <w:rPr>
                <w:rFonts w:ascii="Times New Roman" w:hAnsi="Times New Roman" w:cs="Times New Roman"/>
                <w:sz w:val="20"/>
                <w:szCs w:val="20"/>
              </w:rPr>
              <w:t>LEI</w:t>
            </w:r>
          </w:p>
          <w:p w14:paraId="37D31041" w14:textId="77777777" w:rsidR="00F31F46" w:rsidRPr="00C20B08" w:rsidRDefault="00F31F46" w:rsidP="00535385">
            <w:pPr>
              <w:spacing w:after="0"/>
              <w:rPr>
                <w:rFonts w:ascii="Garamond" w:hAnsi="Garamond"/>
              </w:rPr>
            </w:pPr>
            <w:r w:rsidRPr="00652D93">
              <w:rPr>
                <w:rFonts w:ascii="Times New Roman" w:hAnsi="Times New Roman" w:cs="Times New Roman"/>
                <w:sz w:val="20"/>
                <w:szCs w:val="20"/>
              </w:rPr>
              <w:t>9</w:t>
            </w:r>
            <w:r>
              <w:rPr>
                <w:rFonts w:ascii="Times New Roman" w:hAnsi="Times New Roman" w:cs="Times New Roman"/>
                <w:sz w:val="20"/>
                <w:szCs w:val="20"/>
              </w:rPr>
              <w:t xml:space="preserve"> - </w:t>
            </w:r>
            <w:r w:rsidRPr="00652D93">
              <w:rPr>
                <w:rFonts w:ascii="Times New Roman" w:hAnsi="Times New Roman" w:cs="Times New Roman"/>
                <w:sz w:val="20"/>
                <w:szCs w:val="20"/>
              </w:rPr>
              <w:t>Aucun</w:t>
            </w:r>
          </w:p>
        </w:tc>
      </w:tr>
      <w:tr w:rsidR="00C430E6" w:rsidRPr="00C20B08" w14:paraId="0E2CFC8D"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62EBAE54" w14:textId="77777777" w:rsidR="00C430E6" w:rsidRPr="00C20B08" w:rsidRDefault="00C430E6" w:rsidP="00C430E6">
            <w:pPr>
              <w:rPr>
                <w:rFonts w:ascii="Garamond" w:hAnsi="Garamond"/>
                <w:bCs/>
              </w:rPr>
            </w:pPr>
            <w:r w:rsidRPr="00F31F46">
              <w:rPr>
                <w:rFonts w:ascii="Garamond" w:hAnsi="Garamond"/>
                <w:bCs/>
              </w:rPr>
              <w:t>Notation externe</w:t>
            </w:r>
          </w:p>
        </w:tc>
        <w:tc>
          <w:tcPr>
            <w:tcW w:w="947" w:type="dxa"/>
            <w:tcBorders>
              <w:top w:val="nil"/>
              <w:left w:val="single" w:sz="4" w:space="0" w:color="auto"/>
              <w:bottom w:val="single" w:sz="4" w:space="0" w:color="auto"/>
              <w:right w:val="single" w:sz="4" w:space="0" w:color="auto"/>
            </w:tcBorders>
            <w:shd w:val="clear" w:color="auto" w:fill="auto"/>
            <w:vAlign w:val="center"/>
          </w:tcPr>
          <w:p w14:paraId="068BC814" w14:textId="77777777" w:rsidR="00C430E6" w:rsidRPr="00C20B08" w:rsidRDefault="00C430E6" w:rsidP="00C430E6">
            <w:pPr>
              <w:jc w:val="center"/>
              <w:rPr>
                <w:rFonts w:ascii="Garamond" w:hAnsi="Garamond"/>
              </w:rPr>
            </w:pPr>
            <w:r>
              <w:rPr>
                <w:rFonts w:ascii="Garamond" w:hAnsi="Garamond"/>
              </w:rPr>
              <w:t>C0290</w:t>
            </w:r>
          </w:p>
        </w:tc>
        <w:tc>
          <w:tcPr>
            <w:tcW w:w="6352" w:type="dxa"/>
            <w:tcBorders>
              <w:top w:val="nil"/>
              <w:left w:val="single" w:sz="4" w:space="0" w:color="auto"/>
              <w:bottom w:val="single" w:sz="4" w:space="0" w:color="auto"/>
              <w:right w:val="single" w:sz="4" w:space="0" w:color="auto"/>
            </w:tcBorders>
          </w:tcPr>
          <w:p w14:paraId="3B874889" w14:textId="77777777" w:rsidR="00C430E6" w:rsidRDefault="00C430E6" w:rsidP="00535385">
            <w:pPr>
              <w:spacing w:after="0"/>
              <w:jc w:val="both"/>
              <w:rPr>
                <w:rFonts w:ascii="Times New Roman" w:hAnsi="Times New Roman" w:cs="Times New Roman"/>
                <w:sz w:val="20"/>
                <w:szCs w:val="20"/>
              </w:rPr>
            </w:pPr>
            <w:r w:rsidRPr="00652D93">
              <w:rPr>
                <w:rFonts w:ascii="Times New Roman" w:hAnsi="Times New Roman" w:cs="Times New Roman"/>
                <w:sz w:val="20"/>
                <w:szCs w:val="20"/>
              </w:rPr>
              <w:t>Ne s'applique que pour les dérivés de gré à gré.</w:t>
            </w:r>
          </w:p>
          <w:p w14:paraId="4FF67C1F" w14:textId="77777777" w:rsidR="00C430E6" w:rsidRPr="00652D93" w:rsidRDefault="00C430E6" w:rsidP="00535385">
            <w:pPr>
              <w:spacing w:after="0"/>
              <w:jc w:val="both"/>
              <w:rPr>
                <w:rFonts w:ascii="Times New Roman" w:hAnsi="Times New Roman" w:cs="Times New Roman"/>
                <w:sz w:val="20"/>
                <w:szCs w:val="20"/>
              </w:rPr>
            </w:pPr>
          </w:p>
          <w:p w14:paraId="3E048E9F" w14:textId="77777777" w:rsidR="00C430E6" w:rsidRDefault="00C430E6" w:rsidP="00535385">
            <w:pPr>
              <w:spacing w:after="0"/>
              <w:jc w:val="both"/>
              <w:rPr>
                <w:rFonts w:ascii="Times New Roman" w:hAnsi="Times New Roman" w:cs="Times New Roman"/>
                <w:sz w:val="20"/>
                <w:szCs w:val="20"/>
              </w:rPr>
            </w:pPr>
            <w:r w:rsidRPr="00652D93">
              <w:rPr>
                <w:rFonts w:ascii="Times New Roman" w:hAnsi="Times New Roman" w:cs="Times New Roman"/>
                <w:sz w:val="20"/>
                <w:szCs w:val="20"/>
              </w:rPr>
              <w:t>Indiquer la notation de la contrepartie au contrat dérivé à la date de déclaration, telle que fournie par l'organisme externe d'évaluation du crédit (OEEC) désigné.</w:t>
            </w:r>
          </w:p>
          <w:p w14:paraId="4FE0500A" w14:textId="77777777" w:rsidR="00C430E6" w:rsidRPr="00652D93" w:rsidRDefault="00C430E6" w:rsidP="00535385">
            <w:pPr>
              <w:spacing w:after="0"/>
              <w:jc w:val="both"/>
              <w:rPr>
                <w:rFonts w:ascii="Times New Roman" w:hAnsi="Times New Roman" w:cs="Times New Roman"/>
                <w:sz w:val="20"/>
                <w:szCs w:val="20"/>
              </w:rPr>
            </w:pPr>
          </w:p>
          <w:p w14:paraId="6B6B6726" w14:textId="77777777" w:rsidR="00C430E6" w:rsidRDefault="00C430E6" w:rsidP="00535385">
            <w:pPr>
              <w:spacing w:after="0"/>
              <w:jc w:val="both"/>
              <w:rPr>
                <w:rFonts w:ascii="Times New Roman" w:hAnsi="Times New Roman" w:cs="Times New Roman"/>
                <w:sz w:val="20"/>
                <w:szCs w:val="20"/>
              </w:rPr>
            </w:pPr>
            <w:r w:rsidRPr="00652D93">
              <w:rPr>
                <w:rFonts w:ascii="Times New Roman" w:hAnsi="Times New Roman" w:cs="Times New Roman"/>
                <w:sz w:val="20"/>
                <w:szCs w:val="20"/>
              </w:rPr>
              <w:t>Si une notation de l'émetteur n'est pas disponible, l'élément est laissé</w:t>
            </w:r>
            <w:r>
              <w:rPr>
                <w:rFonts w:ascii="Times New Roman" w:hAnsi="Times New Roman" w:cs="Times New Roman"/>
                <w:sz w:val="20"/>
                <w:szCs w:val="20"/>
              </w:rPr>
              <w:t xml:space="preserve"> </w:t>
            </w:r>
            <w:proofErr w:type="spellStart"/>
            <w:r w:rsidRPr="00652D93">
              <w:rPr>
                <w:rFonts w:ascii="Times New Roman" w:hAnsi="Times New Roman" w:cs="Times New Roman"/>
                <w:sz w:val="20"/>
                <w:szCs w:val="20"/>
              </w:rPr>
              <w:t>vide</w:t>
            </w:r>
            <w:proofErr w:type="spellEnd"/>
            <w:r w:rsidRPr="00652D93">
              <w:rPr>
                <w:rFonts w:ascii="Times New Roman" w:hAnsi="Times New Roman" w:cs="Times New Roman"/>
                <w:sz w:val="20"/>
                <w:szCs w:val="20"/>
              </w:rPr>
              <w:t>.</w:t>
            </w:r>
          </w:p>
          <w:p w14:paraId="1260FCA4" w14:textId="77777777" w:rsidR="00C430E6" w:rsidRPr="00652D93" w:rsidRDefault="00C430E6" w:rsidP="00535385">
            <w:pPr>
              <w:spacing w:after="0"/>
              <w:jc w:val="both"/>
              <w:rPr>
                <w:rFonts w:ascii="Times New Roman" w:hAnsi="Times New Roman" w:cs="Times New Roman"/>
                <w:sz w:val="20"/>
                <w:szCs w:val="20"/>
              </w:rPr>
            </w:pPr>
          </w:p>
          <w:p w14:paraId="2DC8DF58" w14:textId="77777777" w:rsidR="00C430E6" w:rsidRPr="00C20B08" w:rsidRDefault="00C430E6" w:rsidP="00535385">
            <w:pPr>
              <w:spacing w:after="0"/>
              <w:rPr>
                <w:rFonts w:ascii="Garamond" w:hAnsi="Garamond"/>
              </w:rPr>
            </w:pPr>
            <w:r w:rsidRPr="00652D93">
              <w:rPr>
                <w:rFonts w:ascii="Times New Roman" w:hAnsi="Times New Roman" w:cs="Times New Roman"/>
                <w:sz w:val="20"/>
                <w:szCs w:val="20"/>
              </w:rPr>
              <w:t>Ne s'applique pas aux dérivés pour lesquels une entreprise appliquant un modèle interne utilise des notations internes. Lorsqu'une telle entreprise n'utilise pas de notations internes, elle doit déclarer une valeur pour cet élément.</w:t>
            </w:r>
          </w:p>
        </w:tc>
      </w:tr>
      <w:tr w:rsidR="00CC3D28" w:rsidRPr="00C20B08" w14:paraId="0C166DEC"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6EE16EEF" w14:textId="77777777" w:rsidR="00CC3D28" w:rsidRPr="00C20B08" w:rsidRDefault="00CC3D28" w:rsidP="00CC3D28">
            <w:pPr>
              <w:rPr>
                <w:rFonts w:ascii="Garamond" w:hAnsi="Garamond"/>
                <w:bCs/>
              </w:rPr>
            </w:pPr>
            <w:r w:rsidRPr="00F31F46">
              <w:rPr>
                <w:rFonts w:ascii="Garamond" w:hAnsi="Garamond"/>
                <w:bCs/>
              </w:rPr>
              <w:t>OEEC désigné</w:t>
            </w:r>
          </w:p>
        </w:tc>
        <w:tc>
          <w:tcPr>
            <w:tcW w:w="947" w:type="dxa"/>
            <w:tcBorders>
              <w:top w:val="nil"/>
              <w:left w:val="single" w:sz="4" w:space="0" w:color="auto"/>
              <w:bottom w:val="single" w:sz="4" w:space="0" w:color="auto"/>
              <w:right w:val="single" w:sz="4" w:space="0" w:color="auto"/>
            </w:tcBorders>
            <w:shd w:val="clear" w:color="auto" w:fill="auto"/>
            <w:vAlign w:val="center"/>
          </w:tcPr>
          <w:p w14:paraId="5969AC20" w14:textId="77777777" w:rsidR="00CC3D28" w:rsidRPr="00C20B08" w:rsidRDefault="00CC3D28" w:rsidP="00CC3D28">
            <w:pPr>
              <w:jc w:val="center"/>
              <w:rPr>
                <w:rFonts w:ascii="Garamond" w:hAnsi="Garamond"/>
              </w:rPr>
            </w:pPr>
            <w:r w:rsidRPr="00C20B08">
              <w:rPr>
                <w:rFonts w:ascii="Garamond" w:hAnsi="Garamond"/>
              </w:rPr>
              <w:t>C0</w:t>
            </w:r>
            <w:r>
              <w:rPr>
                <w:rFonts w:ascii="Garamond" w:hAnsi="Garamond"/>
              </w:rPr>
              <w:t>30</w:t>
            </w:r>
            <w:r w:rsidRPr="00C20B08">
              <w:rPr>
                <w:rFonts w:ascii="Garamond" w:hAnsi="Garamond"/>
              </w:rPr>
              <w:t>0</w:t>
            </w:r>
          </w:p>
        </w:tc>
        <w:tc>
          <w:tcPr>
            <w:tcW w:w="6352" w:type="dxa"/>
            <w:tcBorders>
              <w:top w:val="nil"/>
              <w:left w:val="single" w:sz="4" w:space="0" w:color="auto"/>
              <w:bottom w:val="single" w:sz="4" w:space="0" w:color="auto"/>
              <w:right w:val="single" w:sz="4" w:space="0" w:color="auto"/>
            </w:tcBorders>
          </w:tcPr>
          <w:p w14:paraId="161A5D6A" w14:textId="564E69D8" w:rsidR="00CC3D28" w:rsidRPr="00535385" w:rsidRDefault="00CC3D28" w:rsidP="0085196F">
            <w:pPr>
              <w:spacing w:after="0"/>
              <w:jc w:val="both"/>
              <w:rPr>
                <w:rFonts w:ascii="Times New Roman" w:hAnsi="Times New Roman" w:cs="Times New Roman"/>
                <w:sz w:val="20"/>
                <w:szCs w:val="20"/>
              </w:rPr>
            </w:pPr>
            <w:r w:rsidRPr="00652D93">
              <w:rPr>
                <w:rFonts w:ascii="Times New Roman" w:hAnsi="Times New Roman" w:cs="Times New Roman"/>
                <w:sz w:val="20"/>
                <w:szCs w:val="20"/>
              </w:rPr>
              <w:t>Identifier l'organisme externe d'évaluation du crédit (OEEC) qui attribue la notation externe en C0290, en utilisant la liste fermée ci-après. En cas de notations émises par des filiales de l'OEEC, veuillez indiquer l'OEEC mère [par référence à la liste de l'AEMF des agences de notation de crédit enregistrées ou certifiées conformément au règlement (CE) no 1060/2009 du Parlement européen et du Conseil du 16 septembre 2009 sur les agences de notation de crédit].</w:t>
            </w:r>
          </w:p>
          <w:p w14:paraId="0C7E58B1" w14:textId="77777777" w:rsidR="00CC3D28" w:rsidRPr="00535385" w:rsidRDefault="00CC3D28" w:rsidP="00535385">
            <w:pPr>
              <w:spacing w:after="0"/>
              <w:jc w:val="both"/>
              <w:rPr>
                <w:rFonts w:ascii="Times New Roman" w:hAnsi="Times New Roman" w:cs="Times New Roman"/>
                <w:sz w:val="20"/>
                <w:szCs w:val="20"/>
              </w:rPr>
            </w:pPr>
          </w:p>
          <w:p w14:paraId="661D4615" w14:textId="77777777" w:rsidR="00CC3D28" w:rsidRPr="00C20B08" w:rsidRDefault="00CC3D28" w:rsidP="00535385">
            <w:pPr>
              <w:spacing w:after="0"/>
              <w:rPr>
                <w:rFonts w:ascii="Garamond" w:hAnsi="Garamond"/>
              </w:rPr>
            </w:pPr>
            <w:r w:rsidRPr="003A30D6">
              <w:rPr>
                <w:rFonts w:ascii="Times New Roman" w:hAnsi="Times New Roman" w:cs="Times New Roman"/>
                <w:sz w:val="20"/>
                <w:szCs w:val="20"/>
              </w:rPr>
              <w:t>Une valeur doit être déclarée pour cet élément lorsqu'une déclaration est effectuée sous C0290 “Notation externe”.</w:t>
            </w:r>
          </w:p>
        </w:tc>
      </w:tr>
      <w:tr w:rsidR="005304FC" w:rsidRPr="002907D2" w14:paraId="51568DAC"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5383A57D" w14:textId="77777777" w:rsidR="005304FC" w:rsidRPr="00C20B08" w:rsidRDefault="005304FC" w:rsidP="00535385">
            <w:pPr>
              <w:spacing w:after="0"/>
              <w:rPr>
                <w:rFonts w:ascii="Garamond" w:hAnsi="Garamond"/>
                <w:bCs/>
              </w:rPr>
            </w:pPr>
            <w:r w:rsidRPr="00535385">
              <w:rPr>
                <w:rFonts w:ascii="Garamond" w:hAnsi="Garamond"/>
                <w:bCs/>
              </w:rPr>
              <w:t>Groupe de la contrepartie</w:t>
            </w:r>
          </w:p>
        </w:tc>
        <w:tc>
          <w:tcPr>
            <w:tcW w:w="947" w:type="dxa"/>
            <w:tcBorders>
              <w:top w:val="nil"/>
              <w:left w:val="single" w:sz="4" w:space="0" w:color="auto"/>
              <w:bottom w:val="single" w:sz="4" w:space="0" w:color="auto"/>
              <w:right w:val="single" w:sz="4" w:space="0" w:color="auto"/>
            </w:tcBorders>
            <w:shd w:val="clear" w:color="auto" w:fill="auto"/>
            <w:vAlign w:val="center"/>
          </w:tcPr>
          <w:p w14:paraId="7C70936F" w14:textId="77777777" w:rsidR="005304FC" w:rsidRPr="00535385" w:rsidRDefault="005304FC" w:rsidP="00535385">
            <w:pPr>
              <w:spacing w:after="0"/>
              <w:jc w:val="center"/>
              <w:rPr>
                <w:rFonts w:ascii="Garamond" w:hAnsi="Garamond"/>
                <w:bCs/>
              </w:rPr>
            </w:pPr>
            <w:r w:rsidRPr="00535385">
              <w:rPr>
                <w:rFonts w:ascii="Garamond" w:hAnsi="Garamond"/>
                <w:bCs/>
              </w:rPr>
              <w:t>C0330</w:t>
            </w:r>
          </w:p>
        </w:tc>
        <w:tc>
          <w:tcPr>
            <w:tcW w:w="6352" w:type="dxa"/>
            <w:tcBorders>
              <w:top w:val="nil"/>
              <w:left w:val="single" w:sz="4" w:space="0" w:color="auto"/>
              <w:bottom w:val="single" w:sz="4" w:space="0" w:color="auto"/>
              <w:right w:val="single" w:sz="4" w:space="0" w:color="auto"/>
            </w:tcBorders>
          </w:tcPr>
          <w:p w14:paraId="05D5002A" w14:textId="77777777" w:rsidR="005304FC" w:rsidRDefault="005304FC" w:rsidP="00535385">
            <w:pPr>
              <w:spacing w:after="0"/>
              <w:jc w:val="both"/>
              <w:rPr>
                <w:rFonts w:ascii="Times New Roman" w:hAnsi="Times New Roman" w:cs="Times New Roman"/>
                <w:sz w:val="20"/>
                <w:szCs w:val="20"/>
              </w:rPr>
            </w:pPr>
            <w:r w:rsidRPr="00D354A4">
              <w:rPr>
                <w:rFonts w:ascii="Times New Roman" w:hAnsi="Times New Roman" w:cs="Times New Roman"/>
                <w:sz w:val="20"/>
                <w:szCs w:val="20"/>
              </w:rPr>
              <w:t>Ne concerne que les contreparties contractuelles, autres que bourse ou contrepartie centrale, à des dérivés de gré à gré.</w:t>
            </w:r>
          </w:p>
          <w:p w14:paraId="57740207" w14:textId="77777777" w:rsidR="005304FC" w:rsidRPr="00D354A4" w:rsidRDefault="005304FC" w:rsidP="00535385">
            <w:pPr>
              <w:spacing w:after="0"/>
              <w:jc w:val="both"/>
              <w:rPr>
                <w:rFonts w:ascii="Times New Roman" w:hAnsi="Times New Roman" w:cs="Times New Roman"/>
                <w:sz w:val="20"/>
                <w:szCs w:val="20"/>
              </w:rPr>
            </w:pPr>
          </w:p>
          <w:p w14:paraId="187EBE48" w14:textId="77777777" w:rsidR="005304FC" w:rsidRPr="002907D2" w:rsidRDefault="005304FC" w:rsidP="00535385">
            <w:pPr>
              <w:spacing w:after="0"/>
              <w:rPr>
                <w:rFonts w:ascii="Garamond" w:hAnsi="Garamond"/>
              </w:rPr>
            </w:pPr>
            <w:r w:rsidRPr="00D354A4">
              <w:rPr>
                <w:rFonts w:ascii="Times New Roman" w:hAnsi="Times New Roman" w:cs="Times New Roman"/>
                <w:sz w:val="20"/>
                <w:szCs w:val="20"/>
              </w:rPr>
              <w:t>Nom de l'entité mère ultime de la contrepartie. Indiquer le nom de l'entité enregistré dans la base de données des identifiants d'entité juridique (LEI) s'il existe. À défaut, indiquer la dénomination légale.</w:t>
            </w:r>
          </w:p>
        </w:tc>
      </w:tr>
      <w:tr w:rsidR="005304FC" w:rsidRPr="00C20B08" w14:paraId="718DD19B"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0085DE33" w14:textId="77777777" w:rsidR="005304FC" w:rsidRPr="00C20B08" w:rsidRDefault="005304FC" w:rsidP="00535385">
            <w:pPr>
              <w:spacing w:after="0"/>
              <w:rPr>
                <w:rFonts w:ascii="Garamond" w:hAnsi="Garamond"/>
                <w:bCs/>
              </w:rPr>
            </w:pPr>
            <w:r w:rsidRPr="00535385">
              <w:rPr>
                <w:rFonts w:ascii="Garamond" w:hAnsi="Garamond"/>
                <w:bCs/>
              </w:rPr>
              <w:t>Code d’identification du groupe de la contrepartie</w:t>
            </w:r>
          </w:p>
        </w:tc>
        <w:tc>
          <w:tcPr>
            <w:tcW w:w="947" w:type="dxa"/>
            <w:tcBorders>
              <w:top w:val="nil"/>
              <w:left w:val="single" w:sz="4" w:space="0" w:color="auto"/>
              <w:bottom w:val="single" w:sz="4" w:space="0" w:color="auto"/>
              <w:right w:val="single" w:sz="4" w:space="0" w:color="auto"/>
            </w:tcBorders>
            <w:shd w:val="clear" w:color="auto" w:fill="auto"/>
            <w:vAlign w:val="center"/>
          </w:tcPr>
          <w:p w14:paraId="2AA9EE6B" w14:textId="77777777" w:rsidR="005304FC" w:rsidRPr="00535385" w:rsidRDefault="005304FC" w:rsidP="00535385">
            <w:pPr>
              <w:spacing w:after="0"/>
              <w:jc w:val="center"/>
              <w:rPr>
                <w:rFonts w:ascii="Garamond" w:hAnsi="Garamond"/>
                <w:bCs/>
              </w:rPr>
            </w:pPr>
            <w:r w:rsidRPr="00535385">
              <w:rPr>
                <w:rFonts w:ascii="Garamond" w:hAnsi="Garamond"/>
                <w:bCs/>
              </w:rPr>
              <w:t>C0340</w:t>
            </w:r>
          </w:p>
        </w:tc>
        <w:tc>
          <w:tcPr>
            <w:tcW w:w="6352" w:type="dxa"/>
            <w:tcBorders>
              <w:top w:val="nil"/>
              <w:left w:val="single" w:sz="4" w:space="0" w:color="auto"/>
              <w:bottom w:val="single" w:sz="4" w:space="0" w:color="auto"/>
              <w:right w:val="single" w:sz="4" w:space="0" w:color="auto"/>
            </w:tcBorders>
          </w:tcPr>
          <w:p w14:paraId="542C58EF" w14:textId="77777777" w:rsidR="005304FC" w:rsidRDefault="005304FC" w:rsidP="00535385">
            <w:pPr>
              <w:spacing w:after="0"/>
              <w:jc w:val="both"/>
              <w:rPr>
                <w:rFonts w:ascii="Times New Roman" w:hAnsi="Times New Roman" w:cs="Times New Roman"/>
                <w:sz w:val="20"/>
                <w:szCs w:val="20"/>
              </w:rPr>
            </w:pPr>
            <w:r w:rsidRPr="00D354A4">
              <w:rPr>
                <w:rFonts w:ascii="Times New Roman" w:hAnsi="Times New Roman" w:cs="Times New Roman"/>
                <w:sz w:val="20"/>
                <w:szCs w:val="20"/>
              </w:rPr>
              <w:t>Ne concerne que les contreparties contractuelles, autres que bourse ou contrepartie centrale, à des dérivés de gré à gré.</w:t>
            </w:r>
          </w:p>
          <w:p w14:paraId="445CBAE7" w14:textId="77777777" w:rsidR="005304FC" w:rsidRPr="00D354A4" w:rsidRDefault="005304FC" w:rsidP="00535385">
            <w:pPr>
              <w:spacing w:after="0"/>
              <w:jc w:val="both"/>
              <w:rPr>
                <w:rFonts w:ascii="Times New Roman" w:hAnsi="Times New Roman" w:cs="Times New Roman"/>
                <w:sz w:val="20"/>
                <w:szCs w:val="20"/>
              </w:rPr>
            </w:pPr>
          </w:p>
          <w:p w14:paraId="347B0BA2" w14:textId="77777777" w:rsidR="005304FC" w:rsidRDefault="005304FC" w:rsidP="00535385">
            <w:pPr>
              <w:spacing w:after="0"/>
              <w:jc w:val="both"/>
              <w:rPr>
                <w:rFonts w:ascii="Times New Roman" w:hAnsi="Times New Roman" w:cs="Times New Roman"/>
                <w:sz w:val="20"/>
                <w:szCs w:val="20"/>
              </w:rPr>
            </w:pPr>
            <w:r w:rsidRPr="00D354A4">
              <w:rPr>
                <w:rFonts w:ascii="Times New Roman" w:hAnsi="Times New Roman" w:cs="Times New Roman"/>
                <w:sz w:val="20"/>
                <w:szCs w:val="20"/>
              </w:rPr>
              <w:t>Indiquer le code d'identification du groupe de la contrepartie en utilisant l'identifiant d'entité juridique (LEI) s'il existe.</w:t>
            </w:r>
          </w:p>
          <w:p w14:paraId="6F7A05EA" w14:textId="77777777" w:rsidR="005304FC" w:rsidRPr="00D354A4" w:rsidRDefault="005304FC" w:rsidP="00535385">
            <w:pPr>
              <w:spacing w:after="0"/>
              <w:jc w:val="both"/>
              <w:rPr>
                <w:rFonts w:ascii="Times New Roman" w:hAnsi="Times New Roman" w:cs="Times New Roman"/>
                <w:sz w:val="20"/>
                <w:szCs w:val="20"/>
              </w:rPr>
            </w:pPr>
          </w:p>
          <w:p w14:paraId="3741C776" w14:textId="77777777" w:rsidR="005304FC" w:rsidRPr="00C20B08" w:rsidRDefault="005304FC" w:rsidP="00535385">
            <w:pPr>
              <w:spacing w:after="0"/>
              <w:rPr>
                <w:rFonts w:ascii="Garamond" w:hAnsi="Garamond"/>
              </w:rPr>
            </w:pPr>
            <w:r w:rsidRPr="00D354A4">
              <w:rPr>
                <w:rFonts w:ascii="Times New Roman" w:hAnsi="Times New Roman" w:cs="Times New Roman"/>
                <w:sz w:val="20"/>
                <w:szCs w:val="20"/>
              </w:rPr>
              <w:t>S'il n'existe pas, ne rien déclarer pour cet élément.</w:t>
            </w:r>
          </w:p>
        </w:tc>
      </w:tr>
      <w:tr w:rsidR="005304FC" w:rsidRPr="00C20B08" w14:paraId="0FC36C1D"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68AF1C0B" w14:textId="77777777" w:rsidR="005304FC" w:rsidRPr="00C20B08" w:rsidRDefault="005304FC" w:rsidP="00535385">
            <w:pPr>
              <w:spacing w:after="0"/>
              <w:rPr>
                <w:rFonts w:ascii="Garamond" w:hAnsi="Garamond"/>
                <w:bCs/>
              </w:rPr>
            </w:pPr>
            <w:r w:rsidRPr="00535385">
              <w:rPr>
                <w:rFonts w:ascii="Garamond" w:hAnsi="Garamond"/>
                <w:bCs/>
              </w:rPr>
              <w:t>Type de code d’identification du groupe de la contrepartie</w:t>
            </w:r>
          </w:p>
        </w:tc>
        <w:tc>
          <w:tcPr>
            <w:tcW w:w="947" w:type="dxa"/>
            <w:tcBorders>
              <w:top w:val="nil"/>
              <w:left w:val="single" w:sz="4" w:space="0" w:color="auto"/>
              <w:bottom w:val="single" w:sz="4" w:space="0" w:color="auto"/>
              <w:right w:val="single" w:sz="4" w:space="0" w:color="auto"/>
            </w:tcBorders>
            <w:shd w:val="clear" w:color="auto" w:fill="auto"/>
            <w:vAlign w:val="center"/>
          </w:tcPr>
          <w:p w14:paraId="20D3D233" w14:textId="77777777" w:rsidR="005304FC" w:rsidRPr="00535385" w:rsidRDefault="005304FC" w:rsidP="00535385">
            <w:pPr>
              <w:spacing w:after="0"/>
              <w:jc w:val="center"/>
              <w:rPr>
                <w:rFonts w:ascii="Garamond" w:hAnsi="Garamond"/>
                <w:bCs/>
              </w:rPr>
            </w:pPr>
            <w:r w:rsidRPr="00535385">
              <w:rPr>
                <w:rFonts w:ascii="Garamond" w:hAnsi="Garamond"/>
                <w:bCs/>
              </w:rPr>
              <w:t>C0350</w:t>
            </w:r>
          </w:p>
        </w:tc>
        <w:tc>
          <w:tcPr>
            <w:tcW w:w="6352" w:type="dxa"/>
            <w:tcBorders>
              <w:top w:val="nil"/>
              <w:left w:val="single" w:sz="4" w:space="0" w:color="auto"/>
              <w:bottom w:val="single" w:sz="4" w:space="0" w:color="auto"/>
              <w:right w:val="single" w:sz="4" w:space="0" w:color="auto"/>
            </w:tcBorders>
          </w:tcPr>
          <w:p w14:paraId="7933C032" w14:textId="77777777" w:rsidR="005304FC" w:rsidRDefault="005304FC" w:rsidP="00535385">
            <w:pPr>
              <w:spacing w:after="0"/>
              <w:jc w:val="both"/>
              <w:rPr>
                <w:rFonts w:ascii="Times New Roman" w:hAnsi="Times New Roman" w:cs="Times New Roman"/>
                <w:sz w:val="20"/>
                <w:szCs w:val="20"/>
              </w:rPr>
            </w:pPr>
            <w:r w:rsidRPr="00D354A4">
              <w:rPr>
                <w:rFonts w:ascii="Times New Roman" w:hAnsi="Times New Roman" w:cs="Times New Roman"/>
                <w:sz w:val="20"/>
                <w:szCs w:val="20"/>
              </w:rPr>
              <w:t>Indiquer le type de code d'identification utilisé pour l'élément</w:t>
            </w:r>
            <w:proofErr w:type="gramStart"/>
            <w:r w:rsidRPr="00D354A4">
              <w:rPr>
                <w:rFonts w:ascii="Times New Roman" w:hAnsi="Times New Roman" w:cs="Times New Roman"/>
                <w:sz w:val="20"/>
                <w:szCs w:val="20"/>
              </w:rPr>
              <w:t xml:space="preserve"> «code</w:t>
            </w:r>
            <w:proofErr w:type="gramEnd"/>
            <w:r w:rsidRPr="00D354A4">
              <w:rPr>
                <w:rFonts w:ascii="Times New Roman" w:hAnsi="Times New Roman" w:cs="Times New Roman"/>
                <w:sz w:val="20"/>
                <w:szCs w:val="20"/>
              </w:rPr>
              <w:t xml:space="preserve"> d'identification du groupe de la contrepartie». Choisir impérativement l'une des options suivantes:</w:t>
            </w:r>
          </w:p>
          <w:p w14:paraId="51613DEB" w14:textId="77777777" w:rsidR="005304FC" w:rsidRPr="00D354A4" w:rsidRDefault="005304FC" w:rsidP="00535385">
            <w:pPr>
              <w:spacing w:after="0"/>
              <w:jc w:val="both"/>
              <w:rPr>
                <w:rFonts w:ascii="Times New Roman" w:hAnsi="Times New Roman" w:cs="Times New Roman"/>
                <w:sz w:val="20"/>
                <w:szCs w:val="20"/>
              </w:rPr>
            </w:pPr>
          </w:p>
          <w:p w14:paraId="1A912EAC" w14:textId="77777777" w:rsidR="005304FC" w:rsidRPr="00D354A4" w:rsidRDefault="005304FC" w:rsidP="00535385">
            <w:pPr>
              <w:spacing w:after="0"/>
              <w:jc w:val="both"/>
              <w:rPr>
                <w:rFonts w:ascii="Times New Roman" w:hAnsi="Times New Roman" w:cs="Times New Roman"/>
                <w:sz w:val="20"/>
                <w:szCs w:val="20"/>
              </w:rPr>
            </w:pPr>
            <w:r w:rsidRPr="00D354A4">
              <w:rPr>
                <w:rFonts w:ascii="Times New Roman" w:hAnsi="Times New Roman" w:cs="Times New Roman"/>
                <w:sz w:val="20"/>
                <w:szCs w:val="20"/>
              </w:rPr>
              <w:t>1</w:t>
            </w:r>
            <w:r>
              <w:rPr>
                <w:rFonts w:ascii="Times New Roman" w:hAnsi="Times New Roman" w:cs="Times New Roman"/>
                <w:sz w:val="20"/>
                <w:szCs w:val="20"/>
              </w:rPr>
              <w:t xml:space="preserve"> - </w:t>
            </w:r>
            <w:r w:rsidRPr="00D354A4">
              <w:rPr>
                <w:rFonts w:ascii="Times New Roman" w:hAnsi="Times New Roman" w:cs="Times New Roman"/>
                <w:sz w:val="20"/>
                <w:szCs w:val="20"/>
              </w:rPr>
              <w:t>LEI</w:t>
            </w:r>
          </w:p>
          <w:p w14:paraId="4EB84F34" w14:textId="77777777" w:rsidR="005304FC" w:rsidRPr="00C20B08" w:rsidRDefault="005304FC" w:rsidP="00535385">
            <w:pPr>
              <w:spacing w:after="0"/>
              <w:rPr>
                <w:rFonts w:ascii="Garamond" w:hAnsi="Garamond"/>
              </w:rPr>
            </w:pPr>
            <w:r w:rsidRPr="00D354A4">
              <w:rPr>
                <w:rFonts w:ascii="Times New Roman" w:hAnsi="Times New Roman" w:cs="Times New Roman"/>
                <w:sz w:val="20"/>
                <w:szCs w:val="20"/>
              </w:rPr>
              <w:t>9</w:t>
            </w:r>
            <w:r>
              <w:rPr>
                <w:rFonts w:ascii="Times New Roman" w:hAnsi="Times New Roman" w:cs="Times New Roman"/>
                <w:sz w:val="20"/>
                <w:szCs w:val="20"/>
              </w:rPr>
              <w:t xml:space="preserve"> - </w:t>
            </w:r>
            <w:r w:rsidRPr="00D354A4">
              <w:rPr>
                <w:rFonts w:ascii="Times New Roman" w:hAnsi="Times New Roman" w:cs="Times New Roman"/>
                <w:sz w:val="20"/>
                <w:szCs w:val="20"/>
              </w:rPr>
              <w:t>Aucun</w:t>
            </w:r>
            <w:r w:rsidRPr="00C20B08" w:rsidDel="001135EC">
              <w:rPr>
                <w:rFonts w:ascii="Garamond" w:hAnsi="Garamond"/>
              </w:rPr>
              <w:t xml:space="preserve"> </w:t>
            </w:r>
          </w:p>
        </w:tc>
      </w:tr>
      <w:tr w:rsidR="00E56B06" w:rsidRPr="00BC6970" w14:paraId="7EDFFFBB" w14:textId="77777777" w:rsidTr="00BC6970">
        <w:trPr>
          <w:trHeight w:val="300"/>
        </w:trPr>
        <w:tc>
          <w:tcPr>
            <w:tcW w:w="1858" w:type="dxa"/>
            <w:tcBorders>
              <w:top w:val="nil"/>
              <w:left w:val="single" w:sz="4" w:space="0" w:color="auto"/>
              <w:bottom w:val="single" w:sz="4" w:space="0" w:color="auto"/>
              <w:right w:val="single" w:sz="4" w:space="0" w:color="auto"/>
            </w:tcBorders>
            <w:shd w:val="clear" w:color="auto" w:fill="FFFFFF" w:themeFill="background1"/>
            <w:vAlign w:val="center"/>
          </w:tcPr>
          <w:p w14:paraId="57174F6D" w14:textId="77777777" w:rsidR="00E56B06" w:rsidRPr="00BC6970" w:rsidRDefault="00E56B06" w:rsidP="00535385">
            <w:pPr>
              <w:spacing w:after="0"/>
              <w:rPr>
                <w:rFonts w:ascii="Garamond" w:hAnsi="Garamond"/>
                <w:bCs/>
              </w:rPr>
            </w:pPr>
            <w:r w:rsidRPr="00535385">
              <w:rPr>
                <w:rFonts w:ascii="Garamond" w:hAnsi="Garamond"/>
                <w:bCs/>
              </w:rPr>
              <w:t>Nom du contrat</w:t>
            </w:r>
          </w:p>
        </w:tc>
        <w:tc>
          <w:tcPr>
            <w:tcW w:w="947" w:type="dxa"/>
            <w:tcBorders>
              <w:top w:val="nil"/>
              <w:left w:val="single" w:sz="4" w:space="0" w:color="auto"/>
              <w:bottom w:val="single" w:sz="4" w:space="0" w:color="auto"/>
              <w:right w:val="single" w:sz="4" w:space="0" w:color="auto"/>
            </w:tcBorders>
            <w:shd w:val="clear" w:color="auto" w:fill="FFFFFF" w:themeFill="background1"/>
            <w:vAlign w:val="center"/>
          </w:tcPr>
          <w:p w14:paraId="344EFFF6" w14:textId="77777777" w:rsidR="00E56B06" w:rsidRPr="00535385" w:rsidRDefault="00E56B06" w:rsidP="00535385">
            <w:pPr>
              <w:spacing w:after="0"/>
              <w:jc w:val="center"/>
              <w:rPr>
                <w:rFonts w:ascii="Garamond" w:hAnsi="Garamond"/>
                <w:bCs/>
              </w:rPr>
            </w:pPr>
            <w:r w:rsidRPr="00535385">
              <w:rPr>
                <w:rFonts w:ascii="Garamond" w:hAnsi="Garamond"/>
                <w:bCs/>
              </w:rPr>
              <w:t>C0360</w:t>
            </w:r>
          </w:p>
        </w:tc>
        <w:tc>
          <w:tcPr>
            <w:tcW w:w="6352" w:type="dxa"/>
            <w:tcBorders>
              <w:top w:val="nil"/>
              <w:left w:val="single" w:sz="4" w:space="0" w:color="auto"/>
              <w:bottom w:val="single" w:sz="4" w:space="0" w:color="auto"/>
              <w:right w:val="single" w:sz="4" w:space="0" w:color="auto"/>
            </w:tcBorders>
            <w:shd w:val="clear" w:color="auto" w:fill="FFFFFF" w:themeFill="background1"/>
          </w:tcPr>
          <w:p w14:paraId="55BE4167" w14:textId="77777777" w:rsidR="00E56B06" w:rsidRPr="00BC6970" w:rsidRDefault="00E56B06" w:rsidP="00535385">
            <w:pPr>
              <w:spacing w:after="0"/>
              <w:rPr>
                <w:rFonts w:ascii="Garamond" w:hAnsi="Garamond"/>
              </w:rPr>
            </w:pPr>
            <w:r w:rsidRPr="00D354A4">
              <w:rPr>
                <w:rFonts w:ascii="Times New Roman" w:hAnsi="Times New Roman" w:cs="Times New Roman"/>
                <w:sz w:val="20"/>
                <w:szCs w:val="20"/>
              </w:rPr>
              <w:t xml:space="preserve">Indiquer le nom du contrat dérivé. </w:t>
            </w:r>
          </w:p>
        </w:tc>
      </w:tr>
      <w:tr w:rsidR="00E56B06" w:rsidRPr="00F209E5" w14:paraId="0E3195B2"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726297AD" w14:textId="77777777" w:rsidR="00E56B06" w:rsidRPr="00C20B08" w:rsidRDefault="00E56B06" w:rsidP="00535385">
            <w:pPr>
              <w:spacing w:after="0"/>
              <w:rPr>
                <w:rFonts w:ascii="Garamond" w:hAnsi="Garamond"/>
                <w:bCs/>
              </w:rPr>
            </w:pPr>
            <w:r w:rsidRPr="00535385">
              <w:rPr>
                <w:rFonts w:ascii="Garamond" w:hAnsi="Garamond"/>
                <w:bCs/>
              </w:rPr>
              <w:t>Monnaie</w:t>
            </w:r>
          </w:p>
        </w:tc>
        <w:tc>
          <w:tcPr>
            <w:tcW w:w="947" w:type="dxa"/>
            <w:tcBorders>
              <w:top w:val="nil"/>
              <w:left w:val="single" w:sz="4" w:space="0" w:color="auto"/>
              <w:bottom w:val="single" w:sz="4" w:space="0" w:color="auto"/>
              <w:right w:val="single" w:sz="4" w:space="0" w:color="auto"/>
            </w:tcBorders>
            <w:shd w:val="clear" w:color="auto" w:fill="auto"/>
            <w:vAlign w:val="center"/>
          </w:tcPr>
          <w:p w14:paraId="4B61B3AB" w14:textId="77777777" w:rsidR="00E56B06" w:rsidRPr="00535385" w:rsidRDefault="00E56B06" w:rsidP="00535385">
            <w:pPr>
              <w:spacing w:after="0"/>
              <w:jc w:val="center"/>
              <w:rPr>
                <w:rFonts w:ascii="Garamond" w:hAnsi="Garamond"/>
                <w:bCs/>
              </w:rPr>
            </w:pPr>
            <w:r w:rsidRPr="00535385">
              <w:rPr>
                <w:rFonts w:ascii="Garamond" w:hAnsi="Garamond"/>
                <w:bCs/>
              </w:rPr>
              <w:t>C0370</w:t>
            </w:r>
          </w:p>
        </w:tc>
        <w:tc>
          <w:tcPr>
            <w:tcW w:w="6352" w:type="dxa"/>
            <w:tcBorders>
              <w:top w:val="nil"/>
              <w:left w:val="single" w:sz="4" w:space="0" w:color="auto"/>
              <w:bottom w:val="single" w:sz="4" w:space="0" w:color="auto"/>
              <w:right w:val="single" w:sz="4" w:space="0" w:color="auto"/>
            </w:tcBorders>
          </w:tcPr>
          <w:p w14:paraId="7E368FA5" w14:textId="77777777" w:rsidR="00E56B06" w:rsidRPr="00535385" w:rsidRDefault="00E56B06" w:rsidP="00535385">
            <w:pPr>
              <w:spacing w:after="0"/>
              <w:rPr>
                <w:rFonts w:ascii="Garamond" w:hAnsi="Garamond"/>
                <w:i/>
              </w:rPr>
            </w:pPr>
            <w:r w:rsidRPr="00D354A4">
              <w:rPr>
                <w:rFonts w:ascii="Times New Roman" w:hAnsi="Times New Roman" w:cs="Times New Roman"/>
                <w:sz w:val="20"/>
                <w:szCs w:val="20"/>
              </w:rPr>
              <w:t xml:space="preserve">Indiquer le code alphabétique ISO 4217 de la monnaie du dérivé, c'est-à-dire la monnaie du montant notionnel du dérivé (par exemple: USD pour une option ayant pour sous-jacent un montant exprimé dans cette monnaie, monnaie dans laquelle est contractuellement exprimé le montant notionnel d'un swap de change, etc.). </w:t>
            </w:r>
          </w:p>
        </w:tc>
      </w:tr>
      <w:tr w:rsidR="00E56B06" w:rsidRPr="002C47BD" w14:paraId="4E9DDAD0"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1F487EBF" w14:textId="77777777" w:rsidR="00E56B06" w:rsidRPr="00C20B08" w:rsidRDefault="00E56B06" w:rsidP="00535385">
            <w:pPr>
              <w:spacing w:after="0"/>
              <w:rPr>
                <w:rFonts w:ascii="Garamond" w:hAnsi="Garamond"/>
                <w:bCs/>
              </w:rPr>
            </w:pPr>
            <w:r w:rsidRPr="00535385">
              <w:rPr>
                <w:rFonts w:ascii="Garamond" w:hAnsi="Garamond"/>
                <w:bCs/>
              </w:rPr>
              <w:t>CIC</w:t>
            </w:r>
          </w:p>
        </w:tc>
        <w:tc>
          <w:tcPr>
            <w:tcW w:w="947" w:type="dxa"/>
            <w:tcBorders>
              <w:top w:val="nil"/>
              <w:left w:val="single" w:sz="4" w:space="0" w:color="auto"/>
              <w:bottom w:val="single" w:sz="4" w:space="0" w:color="auto"/>
              <w:right w:val="single" w:sz="4" w:space="0" w:color="auto"/>
            </w:tcBorders>
            <w:shd w:val="clear" w:color="auto" w:fill="auto"/>
            <w:vAlign w:val="center"/>
          </w:tcPr>
          <w:p w14:paraId="3B3317E4" w14:textId="77777777" w:rsidR="00E56B06" w:rsidRPr="00535385" w:rsidRDefault="00E56B06" w:rsidP="00535385">
            <w:pPr>
              <w:spacing w:after="0"/>
              <w:jc w:val="center"/>
              <w:rPr>
                <w:rFonts w:ascii="Garamond" w:hAnsi="Garamond"/>
                <w:bCs/>
              </w:rPr>
            </w:pPr>
            <w:r w:rsidRPr="00535385">
              <w:rPr>
                <w:rFonts w:ascii="Garamond" w:hAnsi="Garamond"/>
                <w:bCs/>
              </w:rPr>
              <w:t>C0380</w:t>
            </w:r>
          </w:p>
        </w:tc>
        <w:tc>
          <w:tcPr>
            <w:tcW w:w="6352" w:type="dxa"/>
            <w:tcBorders>
              <w:top w:val="nil"/>
              <w:left w:val="single" w:sz="4" w:space="0" w:color="auto"/>
              <w:bottom w:val="single" w:sz="4" w:space="0" w:color="auto"/>
              <w:right w:val="single" w:sz="4" w:space="0" w:color="auto"/>
            </w:tcBorders>
          </w:tcPr>
          <w:p w14:paraId="322849A4" w14:textId="77777777" w:rsidR="00E56B06" w:rsidRPr="002C47BD" w:rsidRDefault="00E56B06" w:rsidP="00535385">
            <w:pPr>
              <w:spacing w:after="0"/>
              <w:rPr>
                <w:rFonts w:ascii="Garamond" w:hAnsi="Garamond"/>
              </w:rPr>
            </w:pPr>
            <w:r w:rsidRPr="003A4170">
              <w:rPr>
                <w:rFonts w:ascii="Times New Roman" w:hAnsi="Times New Roman" w:cs="Times New Roman"/>
                <w:sz w:val="20"/>
                <w:szCs w:val="20"/>
              </w:rPr>
              <w:t>Code d'identification complémentaire utilisé pour classer les actifs, tel que présenté à l'annexe V «</w:t>
            </w:r>
            <w:r>
              <w:rPr>
                <w:rFonts w:ascii="Times New Roman" w:hAnsi="Times New Roman" w:cs="Times New Roman"/>
                <w:sz w:val="20"/>
                <w:szCs w:val="20"/>
              </w:rPr>
              <w:t xml:space="preserve"> </w:t>
            </w:r>
            <w:r w:rsidRPr="003A4170">
              <w:rPr>
                <w:rFonts w:ascii="Times New Roman" w:hAnsi="Times New Roman" w:cs="Times New Roman"/>
                <w:sz w:val="20"/>
                <w:szCs w:val="20"/>
              </w:rPr>
              <w:t>Tableau des codes CIC</w:t>
            </w:r>
            <w:r>
              <w:rPr>
                <w:rFonts w:ascii="Times New Roman" w:hAnsi="Times New Roman" w:cs="Times New Roman"/>
                <w:sz w:val="20"/>
                <w:szCs w:val="20"/>
              </w:rPr>
              <w:t xml:space="preserve"> </w:t>
            </w:r>
            <w:r w:rsidRPr="003A4170">
              <w:rPr>
                <w:rFonts w:ascii="Times New Roman" w:hAnsi="Times New Roman" w:cs="Times New Roman"/>
                <w:sz w:val="20"/>
                <w:szCs w:val="20"/>
              </w:rPr>
              <w:t xml:space="preserve">» du présent règlement. Lorsqu'elle classe un dérivé selon le tableau des codes CIC, l'entreprise doit tenir compte du risque le plus représentatif auquel le dérivé est exposé. </w:t>
            </w:r>
          </w:p>
        </w:tc>
      </w:tr>
      <w:tr w:rsidR="00E56B06" w:rsidRPr="002C47BD" w14:paraId="3741D539"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18E04D49" w14:textId="77777777" w:rsidR="00E56B06" w:rsidRPr="00701EC5" w:rsidRDefault="00E56B06" w:rsidP="00535385">
            <w:pPr>
              <w:spacing w:after="0"/>
              <w:rPr>
                <w:rFonts w:ascii="Garamond" w:hAnsi="Garamond"/>
                <w:bCs/>
              </w:rPr>
            </w:pPr>
            <w:r w:rsidRPr="00535385">
              <w:rPr>
                <w:rFonts w:ascii="Garamond" w:hAnsi="Garamond"/>
                <w:bCs/>
              </w:rPr>
              <w:t>Valeur de déclenchement</w:t>
            </w:r>
          </w:p>
        </w:tc>
        <w:tc>
          <w:tcPr>
            <w:tcW w:w="947" w:type="dxa"/>
            <w:tcBorders>
              <w:top w:val="nil"/>
              <w:left w:val="single" w:sz="4" w:space="0" w:color="auto"/>
              <w:bottom w:val="single" w:sz="4" w:space="0" w:color="auto"/>
              <w:right w:val="single" w:sz="4" w:space="0" w:color="auto"/>
            </w:tcBorders>
            <w:shd w:val="clear" w:color="auto" w:fill="auto"/>
            <w:vAlign w:val="center"/>
          </w:tcPr>
          <w:p w14:paraId="70019653" w14:textId="77777777" w:rsidR="00E56B06" w:rsidRPr="00B45F64" w:rsidRDefault="00E56B06" w:rsidP="00535385">
            <w:pPr>
              <w:spacing w:after="0"/>
              <w:jc w:val="center"/>
              <w:rPr>
                <w:rFonts w:ascii="Garamond" w:hAnsi="Garamond"/>
                <w:bCs/>
              </w:rPr>
            </w:pPr>
            <w:r w:rsidRPr="00535385">
              <w:rPr>
                <w:rFonts w:ascii="Garamond" w:hAnsi="Garamond"/>
                <w:bCs/>
              </w:rPr>
              <w:t>C0390</w:t>
            </w:r>
          </w:p>
        </w:tc>
        <w:tc>
          <w:tcPr>
            <w:tcW w:w="6352" w:type="dxa"/>
            <w:tcBorders>
              <w:top w:val="nil"/>
              <w:left w:val="single" w:sz="4" w:space="0" w:color="auto"/>
              <w:bottom w:val="single" w:sz="4" w:space="0" w:color="auto"/>
              <w:right w:val="single" w:sz="4" w:space="0" w:color="auto"/>
            </w:tcBorders>
          </w:tcPr>
          <w:p w14:paraId="07F0DFD3" w14:textId="77777777" w:rsidR="00E56B06" w:rsidRDefault="00E56B06" w:rsidP="00535385">
            <w:pPr>
              <w:spacing w:after="0"/>
              <w:jc w:val="both"/>
              <w:rPr>
                <w:rFonts w:ascii="Times New Roman" w:hAnsi="Times New Roman" w:cs="Times New Roman"/>
                <w:sz w:val="20"/>
                <w:szCs w:val="20"/>
              </w:rPr>
            </w:pPr>
            <w:r w:rsidRPr="003A4170">
              <w:rPr>
                <w:rFonts w:ascii="Times New Roman" w:hAnsi="Times New Roman" w:cs="Times New Roman"/>
                <w:sz w:val="20"/>
                <w:szCs w:val="20"/>
              </w:rPr>
              <w:t xml:space="preserve">Prix de référence pour les futures, prix d'exercice pour les options (pour les obligations, le prix est un pourcentage du montant au pair), taux de change ou taux d'intérêt pour les </w:t>
            </w:r>
            <w:proofErr w:type="spellStart"/>
            <w:r w:rsidRPr="003A4170">
              <w:rPr>
                <w:rFonts w:ascii="Times New Roman" w:hAnsi="Times New Roman" w:cs="Times New Roman"/>
                <w:sz w:val="20"/>
                <w:szCs w:val="20"/>
              </w:rPr>
              <w:t>forwards</w:t>
            </w:r>
            <w:proofErr w:type="spellEnd"/>
            <w:r w:rsidRPr="003A4170">
              <w:rPr>
                <w:rFonts w:ascii="Times New Roman" w:hAnsi="Times New Roman" w:cs="Times New Roman"/>
                <w:sz w:val="20"/>
                <w:szCs w:val="20"/>
              </w:rPr>
              <w:t>, etc.</w:t>
            </w:r>
          </w:p>
          <w:p w14:paraId="3EC743E5" w14:textId="77777777" w:rsidR="00E56B06" w:rsidRPr="003A4170" w:rsidRDefault="00E56B06" w:rsidP="00535385">
            <w:pPr>
              <w:spacing w:after="0"/>
              <w:jc w:val="both"/>
              <w:rPr>
                <w:rFonts w:ascii="Times New Roman" w:hAnsi="Times New Roman" w:cs="Times New Roman"/>
                <w:sz w:val="20"/>
                <w:szCs w:val="20"/>
              </w:rPr>
            </w:pPr>
          </w:p>
          <w:p w14:paraId="7D848267" w14:textId="77777777" w:rsidR="00E56B06" w:rsidRDefault="00E56B06" w:rsidP="00535385">
            <w:pPr>
              <w:spacing w:after="0"/>
              <w:jc w:val="both"/>
              <w:rPr>
                <w:rFonts w:ascii="Times New Roman" w:hAnsi="Times New Roman" w:cs="Times New Roman"/>
                <w:sz w:val="20"/>
                <w:szCs w:val="20"/>
              </w:rPr>
            </w:pPr>
            <w:r w:rsidRPr="003A4170">
              <w:rPr>
                <w:rFonts w:ascii="Times New Roman" w:hAnsi="Times New Roman" w:cs="Times New Roman"/>
                <w:sz w:val="20"/>
                <w:szCs w:val="20"/>
              </w:rPr>
              <w:t>Non applicable à la catégorie CIC D3</w:t>
            </w:r>
            <w:proofErr w:type="gramStart"/>
            <w:r w:rsidRPr="003A4170">
              <w:rPr>
                <w:rFonts w:ascii="Times New Roman" w:hAnsi="Times New Roman" w:cs="Times New Roman"/>
                <w:sz w:val="20"/>
                <w:szCs w:val="20"/>
              </w:rPr>
              <w:t xml:space="preserve"> «</w:t>
            </w:r>
            <w:r>
              <w:rPr>
                <w:rFonts w:ascii="Times New Roman" w:hAnsi="Times New Roman" w:cs="Times New Roman"/>
                <w:sz w:val="20"/>
                <w:szCs w:val="20"/>
              </w:rPr>
              <w:t>Swaps</w:t>
            </w:r>
            <w:proofErr w:type="gramEnd"/>
            <w:r w:rsidRPr="003A4170">
              <w:rPr>
                <w:rFonts w:ascii="Times New Roman" w:hAnsi="Times New Roman" w:cs="Times New Roman"/>
                <w:sz w:val="20"/>
                <w:szCs w:val="20"/>
              </w:rPr>
              <w:t xml:space="preserve"> de taux d'intérêt et de change» Ne rien déclarer pour la catégorie CIC F1 «</w:t>
            </w:r>
            <w:r>
              <w:rPr>
                <w:rFonts w:ascii="Times New Roman" w:hAnsi="Times New Roman" w:cs="Times New Roman"/>
                <w:sz w:val="20"/>
                <w:szCs w:val="20"/>
              </w:rPr>
              <w:t xml:space="preserve">Swaps </w:t>
            </w:r>
            <w:r w:rsidRPr="003A4170">
              <w:rPr>
                <w:rFonts w:ascii="Times New Roman" w:hAnsi="Times New Roman" w:cs="Times New Roman"/>
                <w:sz w:val="20"/>
                <w:szCs w:val="20"/>
              </w:rPr>
              <w:t>sur risque de crédit» si ce n'est pas possible.</w:t>
            </w:r>
          </w:p>
          <w:p w14:paraId="5F8B9DEE" w14:textId="77777777" w:rsidR="00E56B06" w:rsidRPr="003A4170" w:rsidRDefault="00E56B06" w:rsidP="00535385">
            <w:pPr>
              <w:spacing w:after="0"/>
              <w:jc w:val="both"/>
              <w:rPr>
                <w:rFonts w:ascii="Times New Roman" w:hAnsi="Times New Roman" w:cs="Times New Roman"/>
                <w:sz w:val="20"/>
                <w:szCs w:val="20"/>
              </w:rPr>
            </w:pPr>
          </w:p>
          <w:p w14:paraId="0A369EB0" w14:textId="77777777" w:rsidR="00E56B06" w:rsidRDefault="00E56B06" w:rsidP="00535385">
            <w:pPr>
              <w:spacing w:after="0"/>
              <w:jc w:val="both"/>
              <w:rPr>
                <w:rFonts w:ascii="Times New Roman" w:hAnsi="Times New Roman" w:cs="Times New Roman"/>
                <w:sz w:val="20"/>
                <w:szCs w:val="20"/>
              </w:rPr>
            </w:pPr>
            <w:r w:rsidRPr="003A4170">
              <w:rPr>
                <w:rFonts w:ascii="Times New Roman" w:hAnsi="Times New Roman" w:cs="Times New Roman"/>
                <w:sz w:val="20"/>
                <w:szCs w:val="20"/>
              </w:rPr>
              <w:t>S'il y a plusieurs valeurs de déclenchement dans la durée, déclarer la prochaine valeur de déclenchement qui interviendra.</w:t>
            </w:r>
          </w:p>
          <w:p w14:paraId="6C7276A3" w14:textId="77777777" w:rsidR="00E56B06" w:rsidRPr="003A4170" w:rsidRDefault="00E56B06" w:rsidP="00535385">
            <w:pPr>
              <w:spacing w:after="0"/>
              <w:jc w:val="both"/>
              <w:rPr>
                <w:rFonts w:ascii="Times New Roman" w:hAnsi="Times New Roman" w:cs="Times New Roman"/>
                <w:sz w:val="20"/>
                <w:szCs w:val="20"/>
              </w:rPr>
            </w:pPr>
          </w:p>
          <w:p w14:paraId="7E3E4DF6" w14:textId="77777777" w:rsidR="00E56B06" w:rsidRPr="00701EC5" w:rsidRDefault="00E56B06" w:rsidP="00535385">
            <w:pPr>
              <w:spacing w:after="0"/>
              <w:rPr>
                <w:rFonts w:ascii="Garamond" w:hAnsi="Garamond"/>
              </w:rPr>
            </w:pPr>
            <w:r w:rsidRPr="003A4170">
              <w:rPr>
                <w:rFonts w:ascii="Times New Roman" w:hAnsi="Times New Roman" w:cs="Times New Roman"/>
                <w:sz w:val="20"/>
                <w:szCs w:val="20"/>
              </w:rPr>
              <w:t>Lorsque le dérivé a une plage de valeurs de déclenchement, séparer les valeurs par une virgule «,» si la plage n'est pas continue et par un tiret «–» si elle est continue.</w:t>
            </w:r>
          </w:p>
        </w:tc>
      </w:tr>
      <w:tr w:rsidR="00D37807" w:rsidRPr="00F209E5" w14:paraId="698E6EA8"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739DB31C" w14:textId="77777777" w:rsidR="00D37807" w:rsidRPr="00701EC5" w:rsidRDefault="00D37807" w:rsidP="00535385">
            <w:pPr>
              <w:spacing w:after="0"/>
              <w:rPr>
                <w:rFonts w:ascii="Garamond" w:hAnsi="Garamond"/>
                <w:bCs/>
              </w:rPr>
            </w:pPr>
            <w:r w:rsidRPr="00535385">
              <w:rPr>
                <w:rFonts w:ascii="Garamond" w:hAnsi="Garamond"/>
                <w:bCs/>
              </w:rPr>
              <w:t>Déclencheur du dénouement du contrat</w:t>
            </w:r>
          </w:p>
        </w:tc>
        <w:tc>
          <w:tcPr>
            <w:tcW w:w="947" w:type="dxa"/>
            <w:tcBorders>
              <w:top w:val="nil"/>
              <w:left w:val="single" w:sz="4" w:space="0" w:color="auto"/>
              <w:bottom w:val="single" w:sz="4" w:space="0" w:color="auto"/>
              <w:right w:val="single" w:sz="4" w:space="0" w:color="auto"/>
            </w:tcBorders>
            <w:shd w:val="clear" w:color="auto" w:fill="auto"/>
            <w:vAlign w:val="center"/>
          </w:tcPr>
          <w:p w14:paraId="03ED3D59" w14:textId="77777777" w:rsidR="00D37807" w:rsidRPr="00535385" w:rsidRDefault="00D37807" w:rsidP="00535385">
            <w:pPr>
              <w:spacing w:after="0"/>
              <w:jc w:val="center"/>
              <w:rPr>
                <w:rFonts w:ascii="Garamond" w:hAnsi="Garamond"/>
                <w:bCs/>
              </w:rPr>
            </w:pPr>
            <w:r w:rsidRPr="00535385">
              <w:rPr>
                <w:rFonts w:ascii="Garamond" w:hAnsi="Garamond"/>
                <w:bCs/>
              </w:rPr>
              <w:t>C0400</w:t>
            </w:r>
          </w:p>
        </w:tc>
        <w:tc>
          <w:tcPr>
            <w:tcW w:w="6352" w:type="dxa"/>
            <w:tcBorders>
              <w:top w:val="nil"/>
              <w:left w:val="single" w:sz="4" w:space="0" w:color="auto"/>
              <w:bottom w:val="single" w:sz="4" w:space="0" w:color="auto"/>
              <w:right w:val="single" w:sz="4" w:space="0" w:color="auto"/>
            </w:tcBorders>
          </w:tcPr>
          <w:p w14:paraId="3F5742B1" w14:textId="77777777" w:rsidR="00D37807" w:rsidRDefault="00D37807" w:rsidP="00535385">
            <w:pPr>
              <w:spacing w:after="0"/>
              <w:jc w:val="both"/>
              <w:rPr>
                <w:rFonts w:ascii="Times New Roman" w:hAnsi="Times New Roman" w:cs="Times New Roman"/>
                <w:sz w:val="20"/>
                <w:szCs w:val="20"/>
              </w:rPr>
            </w:pPr>
            <w:r w:rsidRPr="00AE0D8C">
              <w:rPr>
                <w:rFonts w:ascii="Times New Roman" w:hAnsi="Times New Roman" w:cs="Times New Roman"/>
                <w:sz w:val="20"/>
                <w:szCs w:val="20"/>
              </w:rPr>
              <w:t>Indiquer l'événement entraînant le dénouement du contrat (hors expiration ou conditions contractuelles normales). Choisir impérativement l'une des options suivantes:</w:t>
            </w:r>
          </w:p>
          <w:p w14:paraId="11A66575" w14:textId="77777777" w:rsidR="00D37807" w:rsidRPr="00AE0D8C" w:rsidRDefault="00D37807" w:rsidP="00535385">
            <w:pPr>
              <w:spacing w:after="0"/>
              <w:jc w:val="both"/>
              <w:rPr>
                <w:rFonts w:ascii="Times New Roman" w:hAnsi="Times New Roman" w:cs="Times New Roman"/>
                <w:sz w:val="20"/>
                <w:szCs w:val="20"/>
              </w:rPr>
            </w:pPr>
          </w:p>
          <w:p w14:paraId="378EF539" w14:textId="77777777" w:rsidR="00D37807" w:rsidRPr="00AE0D8C" w:rsidRDefault="00D37807" w:rsidP="00535385">
            <w:pPr>
              <w:spacing w:after="0"/>
              <w:jc w:val="both"/>
              <w:rPr>
                <w:rFonts w:ascii="Times New Roman" w:hAnsi="Times New Roman" w:cs="Times New Roman"/>
                <w:sz w:val="20"/>
                <w:szCs w:val="20"/>
              </w:rPr>
            </w:pPr>
            <w:r w:rsidRPr="00AE0D8C">
              <w:rPr>
                <w:rFonts w:ascii="Times New Roman" w:hAnsi="Times New Roman" w:cs="Times New Roman"/>
                <w:sz w:val="20"/>
                <w:szCs w:val="20"/>
              </w:rPr>
              <w:t>1</w:t>
            </w:r>
            <w:r>
              <w:rPr>
                <w:rFonts w:ascii="Times New Roman" w:hAnsi="Times New Roman" w:cs="Times New Roman"/>
                <w:sz w:val="20"/>
                <w:szCs w:val="20"/>
              </w:rPr>
              <w:t xml:space="preserve"> - </w:t>
            </w:r>
            <w:r w:rsidRPr="00AE0D8C">
              <w:rPr>
                <w:rFonts w:ascii="Times New Roman" w:hAnsi="Times New Roman" w:cs="Times New Roman"/>
                <w:sz w:val="20"/>
                <w:szCs w:val="20"/>
              </w:rPr>
              <w:t>Faillite de l'entité sous-jacente ou de référence</w:t>
            </w:r>
          </w:p>
          <w:p w14:paraId="02625CA2" w14:textId="77777777" w:rsidR="00D37807" w:rsidRPr="00AE0D8C" w:rsidRDefault="00D37807" w:rsidP="00535385">
            <w:pPr>
              <w:spacing w:after="0"/>
              <w:jc w:val="both"/>
              <w:rPr>
                <w:rFonts w:ascii="Times New Roman" w:hAnsi="Times New Roman" w:cs="Times New Roman"/>
                <w:sz w:val="20"/>
                <w:szCs w:val="20"/>
              </w:rPr>
            </w:pPr>
            <w:r w:rsidRPr="00AE0D8C">
              <w:rPr>
                <w:rFonts w:ascii="Times New Roman" w:hAnsi="Times New Roman" w:cs="Times New Roman"/>
                <w:sz w:val="20"/>
                <w:szCs w:val="20"/>
              </w:rPr>
              <w:t>2</w:t>
            </w:r>
            <w:r>
              <w:rPr>
                <w:rFonts w:ascii="Times New Roman" w:hAnsi="Times New Roman" w:cs="Times New Roman"/>
                <w:sz w:val="20"/>
                <w:szCs w:val="20"/>
              </w:rPr>
              <w:t xml:space="preserve"> - </w:t>
            </w:r>
            <w:r w:rsidRPr="00AE0D8C">
              <w:rPr>
                <w:rFonts w:ascii="Times New Roman" w:hAnsi="Times New Roman" w:cs="Times New Roman"/>
                <w:sz w:val="20"/>
                <w:szCs w:val="20"/>
              </w:rPr>
              <w:t>Chute de la valeur de l'actif de référence sous-jacent</w:t>
            </w:r>
          </w:p>
          <w:p w14:paraId="12886CED" w14:textId="77777777" w:rsidR="00D37807" w:rsidRPr="00AE0D8C" w:rsidRDefault="00D37807" w:rsidP="00535385">
            <w:pPr>
              <w:spacing w:after="0"/>
              <w:jc w:val="both"/>
              <w:rPr>
                <w:rFonts w:ascii="Times New Roman" w:hAnsi="Times New Roman" w:cs="Times New Roman"/>
                <w:sz w:val="20"/>
                <w:szCs w:val="20"/>
              </w:rPr>
            </w:pPr>
            <w:r w:rsidRPr="00AE0D8C">
              <w:rPr>
                <w:rFonts w:ascii="Times New Roman" w:hAnsi="Times New Roman" w:cs="Times New Roman"/>
                <w:sz w:val="20"/>
                <w:szCs w:val="20"/>
              </w:rPr>
              <w:t>3</w:t>
            </w:r>
            <w:r>
              <w:rPr>
                <w:rFonts w:ascii="Times New Roman" w:hAnsi="Times New Roman" w:cs="Times New Roman"/>
                <w:sz w:val="20"/>
                <w:szCs w:val="20"/>
              </w:rPr>
              <w:t xml:space="preserve"> - </w:t>
            </w:r>
            <w:r w:rsidRPr="00AE0D8C">
              <w:rPr>
                <w:rFonts w:ascii="Times New Roman" w:hAnsi="Times New Roman" w:cs="Times New Roman"/>
                <w:sz w:val="20"/>
                <w:szCs w:val="20"/>
              </w:rPr>
              <w:t>Dégradation de la notation de crédit des actifs sous-jacents ou de l'entité sous-jacente</w:t>
            </w:r>
          </w:p>
          <w:p w14:paraId="16C76AD0" w14:textId="77777777" w:rsidR="00D37807" w:rsidRPr="00AE0D8C" w:rsidRDefault="00D37807" w:rsidP="00535385">
            <w:pPr>
              <w:spacing w:after="0"/>
              <w:jc w:val="both"/>
              <w:rPr>
                <w:rFonts w:ascii="Times New Roman" w:hAnsi="Times New Roman" w:cs="Times New Roman"/>
                <w:sz w:val="20"/>
                <w:szCs w:val="20"/>
              </w:rPr>
            </w:pPr>
            <w:r w:rsidRPr="00AE0D8C">
              <w:rPr>
                <w:rFonts w:ascii="Times New Roman" w:hAnsi="Times New Roman" w:cs="Times New Roman"/>
                <w:sz w:val="20"/>
                <w:szCs w:val="20"/>
              </w:rPr>
              <w:t>4</w:t>
            </w:r>
            <w:r>
              <w:rPr>
                <w:rFonts w:ascii="Times New Roman" w:hAnsi="Times New Roman" w:cs="Times New Roman"/>
                <w:sz w:val="20"/>
                <w:szCs w:val="20"/>
              </w:rPr>
              <w:t xml:space="preserve"> - </w:t>
            </w:r>
            <w:r w:rsidRPr="00AE0D8C">
              <w:rPr>
                <w:rFonts w:ascii="Times New Roman" w:hAnsi="Times New Roman" w:cs="Times New Roman"/>
                <w:sz w:val="20"/>
                <w:szCs w:val="20"/>
              </w:rPr>
              <w:t>Novation, c'est-à-dire le fait de remplacer une obligation au titre du dérivé par une nouvelle obligation, ou de remplacer une partie du dérivé par une nouvelle partie</w:t>
            </w:r>
          </w:p>
          <w:p w14:paraId="7B596634" w14:textId="77777777" w:rsidR="00D37807" w:rsidRPr="00AE0D8C" w:rsidRDefault="00D37807" w:rsidP="00535385">
            <w:pPr>
              <w:spacing w:after="0"/>
              <w:jc w:val="both"/>
              <w:rPr>
                <w:rFonts w:ascii="Times New Roman" w:hAnsi="Times New Roman" w:cs="Times New Roman"/>
                <w:sz w:val="20"/>
                <w:szCs w:val="20"/>
              </w:rPr>
            </w:pPr>
            <w:r w:rsidRPr="00AE0D8C">
              <w:rPr>
                <w:rFonts w:ascii="Times New Roman" w:hAnsi="Times New Roman" w:cs="Times New Roman"/>
                <w:sz w:val="20"/>
                <w:szCs w:val="20"/>
              </w:rPr>
              <w:t>5</w:t>
            </w:r>
            <w:r>
              <w:rPr>
                <w:rFonts w:ascii="Times New Roman" w:hAnsi="Times New Roman" w:cs="Times New Roman"/>
                <w:sz w:val="20"/>
                <w:szCs w:val="20"/>
              </w:rPr>
              <w:t xml:space="preserve"> - </w:t>
            </w:r>
            <w:r w:rsidRPr="00AE0D8C">
              <w:rPr>
                <w:rFonts w:ascii="Times New Roman" w:hAnsi="Times New Roman" w:cs="Times New Roman"/>
                <w:sz w:val="20"/>
                <w:szCs w:val="20"/>
              </w:rPr>
              <w:t>Plusieurs événements ou une combinaison d'événements</w:t>
            </w:r>
          </w:p>
          <w:p w14:paraId="2FB2E562" w14:textId="77777777" w:rsidR="00D37807" w:rsidRPr="00AE0D8C" w:rsidRDefault="00D37807" w:rsidP="00535385">
            <w:pPr>
              <w:spacing w:after="0"/>
              <w:jc w:val="both"/>
              <w:rPr>
                <w:rFonts w:ascii="Times New Roman" w:hAnsi="Times New Roman" w:cs="Times New Roman"/>
                <w:sz w:val="20"/>
                <w:szCs w:val="20"/>
              </w:rPr>
            </w:pPr>
            <w:r w:rsidRPr="00AE0D8C">
              <w:rPr>
                <w:rFonts w:ascii="Times New Roman" w:hAnsi="Times New Roman" w:cs="Times New Roman"/>
                <w:sz w:val="20"/>
                <w:szCs w:val="20"/>
              </w:rPr>
              <w:t>6</w:t>
            </w:r>
            <w:r>
              <w:rPr>
                <w:rFonts w:ascii="Times New Roman" w:hAnsi="Times New Roman" w:cs="Times New Roman"/>
                <w:sz w:val="20"/>
                <w:szCs w:val="20"/>
              </w:rPr>
              <w:t xml:space="preserve"> - </w:t>
            </w:r>
            <w:r w:rsidRPr="00AE0D8C">
              <w:rPr>
                <w:rFonts w:ascii="Times New Roman" w:hAnsi="Times New Roman" w:cs="Times New Roman"/>
                <w:sz w:val="20"/>
                <w:szCs w:val="20"/>
              </w:rPr>
              <w:t>Autre événement non couvert par les options précédentes</w:t>
            </w:r>
          </w:p>
          <w:p w14:paraId="7D16AA41" w14:textId="77777777" w:rsidR="00D37807" w:rsidRPr="00535385" w:rsidRDefault="00D37807" w:rsidP="00535385">
            <w:pPr>
              <w:spacing w:after="0"/>
            </w:pPr>
            <w:r w:rsidRPr="00AE0D8C">
              <w:rPr>
                <w:rFonts w:ascii="Times New Roman" w:hAnsi="Times New Roman" w:cs="Times New Roman"/>
                <w:sz w:val="20"/>
                <w:szCs w:val="20"/>
              </w:rPr>
              <w:t>9</w:t>
            </w:r>
            <w:r>
              <w:rPr>
                <w:rFonts w:ascii="Times New Roman" w:hAnsi="Times New Roman" w:cs="Times New Roman"/>
                <w:sz w:val="20"/>
                <w:szCs w:val="20"/>
              </w:rPr>
              <w:t xml:space="preserve"> - </w:t>
            </w:r>
            <w:r w:rsidRPr="00AE0D8C">
              <w:rPr>
                <w:rFonts w:ascii="Times New Roman" w:hAnsi="Times New Roman" w:cs="Times New Roman"/>
                <w:sz w:val="20"/>
                <w:szCs w:val="20"/>
              </w:rPr>
              <w:t>Pas de déclencheur du dénouement</w:t>
            </w:r>
          </w:p>
        </w:tc>
      </w:tr>
      <w:tr w:rsidR="00D37807" w:rsidRPr="0031213A" w14:paraId="366FB83C"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1838045E" w14:textId="77777777" w:rsidR="00D37807" w:rsidRPr="00C20B08" w:rsidRDefault="00D37807" w:rsidP="00535385">
            <w:pPr>
              <w:spacing w:after="0"/>
              <w:rPr>
                <w:rFonts w:ascii="Garamond" w:hAnsi="Garamond"/>
                <w:bCs/>
              </w:rPr>
            </w:pPr>
            <w:r w:rsidRPr="00535385">
              <w:rPr>
                <w:rFonts w:ascii="Garamond" w:hAnsi="Garamond"/>
                <w:bCs/>
              </w:rPr>
              <w:t>Monnaie fournie au titre du contrat d’échange</w:t>
            </w:r>
          </w:p>
        </w:tc>
        <w:tc>
          <w:tcPr>
            <w:tcW w:w="947" w:type="dxa"/>
            <w:tcBorders>
              <w:top w:val="nil"/>
              <w:left w:val="single" w:sz="4" w:space="0" w:color="auto"/>
              <w:bottom w:val="single" w:sz="4" w:space="0" w:color="auto"/>
              <w:right w:val="single" w:sz="4" w:space="0" w:color="auto"/>
            </w:tcBorders>
            <w:shd w:val="clear" w:color="auto" w:fill="auto"/>
            <w:vAlign w:val="center"/>
          </w:tcPr>
          <w:p w14:paraId="380C3BC0" w14:textId="77777777" w:rsidR="00D37807" w:rsidRPr="00535385" w:rsidRDefault="00D37807" w:rsidP="00535385">
            <w:pPr>
              <w:spacing w:after="0"/>
              <w:jc w:val="center"/>
              <w:rPr>
                <w:rFonts w:ascii="Garamond" w:hAnsi="Garamond"/>
                <w:bCs/>
              </w:rPr>
            </w:pPr>
            <w:r w:rsidRPr="00535385">
              <w:rPr>
                <w:rFonts w:ascii="Garamond" w:hAnsi="Garamond"/>
                <w:bCs/>
              </w:rPr>
              <w:t>C0410</w:t>
            </w:r>
          </w:p>
        </w:tc>
        <w:tc>
          <w:tcPr>
            <w:tcW w:w="6352" w:type="dxa"/>
            <w:tcBorders>
              <w:top w:val="nil"/>
              <w:left w:val="single" w:sz="4" w:space="0" w:color="auto"/>
              <w:bottom w:val="single" w:sz="4" w:space="0" w:color="auto"/>
              <w:right w:val="single" w:sz="4" w:space="0" w:color="auto"/>
            </w:tcBorders>
          </w:tcPr>
          <w:p w14:paraId="485D1808" w14:textId="77777777" w:rsidR="00D37807" w:rsidRPr="00535385" w:rsidRDefault="00D37807" w:rsidP="00535385">
            <w:pPr>
              <w:spacing w:after="0"/>
              <w:rPr>
                <w:rFonts w:ascii="Garamond" w:hAnsi="Garamond"/>
                <w:i/>
              </w:rPr>
            </w:pPr>
            <w:r w:rsidRPr="00C0472F">
              <w:rPr>
                <w:rFonts w:ascii="Times New Roman" w:hAnsi="Times New Roman" w:cs="Times New Roman"/>
                <w:sz w:val="20"/>
                <w:szCs w:val="20"/>
              </w:rPr>
              <w:t>Indiquer le code alphabétique ISO 4217 de la monnaie dans laquelle est libellé le prix du contrat d'échange (uniquement pour les swaps de devises et les swaps de taux d'intérêt et de devises).</w:t>
            </w:r>
          </w:p>
        </w:tc>
      </w:tr>
      <w:tr w:rsidR="00D37807" w:rsidRPr="00DA6EA0" w14:paraId="163608C1"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76FB9AA7" w14:textId="77777777" w:rsidR="00D37807" w:rsidRPr="00535385" w:rsidRDefault="00D37807" w:rsidP="00535385">
            <w:pPr>
              <w:spacing w:after="0"/>
              <w:rPr>
                <w:rFonts w:ascii="Garamond" w:hAnsi="Garamond"/>
                <w:bCs/>
              </w:rPr>
            </w:pPr>
            <w:r w:rsidRPr="00535385">
              <w:rPr>
                <w:rFonts w:ascii="Garamond" w:hAnsi="Garamond"/>
                <w:bCs/>
              </w:rPr>
              <w:t>Monnaie reçue au titre du contrat d’échange</w:t>
            </w:r>
          </w:p>
        </w:tc>
        <w:tc>
          <w:tcPr>
            <w:tcW w:w="947" w:type="dxa"/>
            <w:tcBorders>
              <w:top w:val="nil"/>
              <w:left w:val="single" w:sz="4" w:space="0" w:color="auto"/>
              <w:bottom w:val="single" w:sz="4" w:space="0" w:color="auto"/>
              <w:right w:val="single" w:sz="4" w:space="0" w:color="auto"/>
            </w:tcBorders>
            <w:shd w:val="clear" w:color="auto" w:fill="auto"/>
            <w:vAlign w:val="center"/>
          </w:tcPr>
          <w:p w14:paraId="2D68F619" w14:textId="77777777" w:rsidR="00D37807" w:rsidRPr="00535385" w:rsidRDefault="00D37807" w:rsidP="00535385">
            <w:pPr>
              <w:spacing w:after="0"/>
              <w:jc w:val="center"/>
              <w:rPr>
                <w:rFonts w:ascii="Garamond" w:hAnsi="Garamond"/>
                <w:bCs/>
              </w:rPr>
            </w:pPr>
            <w:r w:rsidRPr="00535385">
              <w:rPr>
                <w:rFonts w:ascii="Garamond" w:hAnsi="Garamond"/>
                <w:bCs/>
              </w:rPr>
              <w:t>C0420</w:t>
            </w:r>
          </w:p>
        </w:tc>
        <w:tc>
          <w:tcPr>
            <w:tcW w:w="6352" w:type="dxa"/>
            <w:tcBorders>
              <w:top w:val="nil"/>
              <w:left w:val="single" w:sz="4" w:space="0" w:color="auto"/>
              <w:bottom w:val="single" w:sz="4" w:space="0" w:color="auto"/>
              <w:right w:val="single" w:sz="4" w:space="0" w:color="auto"/>
            </w:tcBorders>
          </w:tcPr>
          <w:p w14:paraId="2EB5F99F" w14:textId="77777777" w:rsidR="00D37807" w:rsidRPr="00C56A00" w:rsidRDefault="00D37807" w:rsidP="00535385">
            <w:pPr>
              <w:spacing w:after="0"/>
              <w:rPr>
                <w:rFonts w:ascii="Garamond" w:hAnsi="Garamond"/>
                <w:b/>
              </w:rPr>
            </w:pPr>
            <w:r w:rsidRPr="00C0472F">
              <w:rPr>
                <w:rFonts w:ascii="Times New Roman" w:hAnsi="Times New Roman" w:cs="Times New Roman"/>
                <w:sz w:val="20"/>
                <w:szCs w:val="20"/>
              </w:rPr>
              <w:t>Indiquer le code alphabétique ISO 4217 de la monnaie dans laquelle est libellé le montant notionnel du contrat d'échange (uniquement pour les swaps de devises et les swaps de taux d'intérêt et de devises).</w:t>
            </w:r>
          </w:p>
        </w:tc>
      </w:tr>
      <w:tr w:rsidR="00D37807" w:rsidRPr="00C20B08" w14:paraId="2BF04633" w14:textId="77777777" w:rsidTr="002205D3">
        <w:trPr>
          <w:trHeight w:val="300"/>
        </w:trPr>
        <w:tc>
          <w:tcPr>
            <w:tcW w:w="1858" w:type="dxa"/>
            <w:tcBorders>
              <w:top w:val="nil"/>
              <w:left w:val="single" w:sz="4" w:space="0" w:color="auto"/>
              <w:bottom w:val="single" w:sz="4" w:space="0" w:color="auto"/>
              <w:right w:val="single" w:sz="4" w:space="0" w:color="auto"/>
            </w:tcBorders>
            <w:shd w:val="clear" w:color="auto" w:fill="auto"/>
            <w:vAlign w:val="center"/>
          </w:tcPr>
          <w:p w14:paraId="31FA8C3C" w14:textId="77777777" w:rsidR="00D37807" w:rsidRPr="00C20B08" w:rsidRDefault="00D37807" w:rsidP="00535385">
            <w:pPr>
              <w:spacing w:after="0"/>
              <w:rPr>
                <w:rFonts w:ascii="Garamond" w:hAnsi="Garamond"/>
                <w:bCs/>
              </w:rPr>
            </w:pPr>
            <w:r w:rsidRPr="00535385">
              <w:rPr>
                <w:rFonts w:ascii="Garamond" w:hAnsi="Garamond"/>
                <w:bCs/>
              </w:rPr>
              <w:t>Date d’échéance</w:t>
            </w:r>
          </w:p>
        </w:tc>
        <w:tc>
          <w:tcPr>
            <w:tcW w:w="947" w:type="dxa"/>
            <w:tcBorders>
              <w:top w:val="nil"/>
              <w:left w:val="single" w:sz="4" w:space="0" w:color="auto"/>
              <w:bottom w:val="single" w:sz="4" w:space="0" w:color="auto"/>
              <w:right w:val="single" w:sz="4" w:space="0" w:color="auto"/>
            </w:tcBorders>
            <w:shd w:val="clear" w:color="auto" w:fill="auto"/>
            <w:vAlign w:val="center"/>
          </w:tcPr>
          <w:p w14:paraId="73E2B582" w14:textId="77777777" w:rsidR="00D37807" w:rsidRPr="00535385" w:rsidRDefault="00D37807" w:rsidP="00535385">
            <w:pPr>
              <w:spacing w:after="0"/>
              <w:jc w:val="center"/>
              <w:rPr>
                <w:rFonts w:ascii="Garamond" w:hAnsi="Garamond"/>
                <w:bCs/>
              </w:rPr>
            </w:pPr>
            <w:r w:rsidRPr="00535385">
              <w:rPr>
                <w:rFonts w:ascii="Garamond" w:hAnsi="Garamond"/>
                <w:bCs/>
              </w:rPr>
              <w:t>C0430</w:t>
            </w:r>
          </w:p>
        </w:tc>
        <w:tc>
          <w:tcPr>
            <w:tcW w:w="6352" w:type="dxa"/>
            <w:tcBorders>
              <w:top w:val="nil"/>
              <w:left w:val="single" w:sz="4" w:space="0" w:color="auto"/>
              <w:bottom w:val="single" w:sz="4" w:space="0" w:color="auto"/>
              <w:right w:val="single" w:sz="4" w:space="0" w:color="auto"/>
            </w:tcBorders>
          </w:tcPr>
          <w:p w14:paraId="5B5A22A7" w14:textId="77777777" w:rsidR="00D37807" w:rsidRPr="00C20B08" w:rsidRDefault="00D37807" w:rsidP="00535385">
            <w:pPr>
              <w:spacing w:after="0"/>
              <w:rPr>
                <w:rFonts w:ascii="Garamond" w:hAnsi="Garamond"/>
              </w:rPr>
            </w:pPr>
            <w:r w:rsidRPr="00C0472F">
              <w:rPr>
                <w:rFonts w:ascii="Times New Roman" w:hAnsi="Times New Roman" w:cs="Times New Roman"/>
                <w:sz w:val="20"/>
                <w:szCs w:val="20"/>
              </w:rPr>
              <w:t>Indiquer le code ISO 8601 (</w:t>
            </w:r>
            <w:proofErr w:type="spellStart"/>
            <w:r w:rsidRPr="00C0472F">
              <w:rPr>
                <w:rFonts w:ascii="Times New Roman" w:hAnsi="Times New Roman" w:cs="Times New Roman"/>
                <w:sz w:val="20"/>
                <w:szCs w:val="20"/>
              </w:rPr>
              <w:t>aaaa</w:t>
            </w:r>
            <w:proofErr w:type="spellEnd"/>
            <w:r w:rsidRPr="00C0472F">
              <w:rPr>
                <w:rFonts w:ascii="Times New Roman" w:hAnsi="Times New Roman" w:cs="Times New Roman"/>
                <w:sz w:val="20"/>
                <w:szCs w:val="20"/>
              </w:rPr>
              <w:t>-mm-</w:t>
            </w:r>
            <w:proofErr w:type="spellStart"/>
            <w:r w:rsidRPr="00C0472F">
              <w:rPr>
                <w:rFonts w:ascii="Times New Roman" w:hAnsi="Times New Roman" w:cs="Times New Roman"/>
                <w:sz w:val="20"/>
                <w:szCs w:val="20"/>
              </w:rPr>
              <w:t>jj</w:t>
            </w:r>
            <w:proofErr w:type="spellEnd"/>
            <w:r w:rsidRPr="00C0472F">
              <w:rPr>
                <w:rFonts w:ascii="Times New Roman" w:hAnsi="Times New Roman" w:cs="Times New Roman"/>
                <w:sz w:val="20"/>
                <w:szCs w:val="20"/>
              </w:rPr>
              <w:t>) de la date de clôture</w:t>
            </w:r>
            <w:r>
              <w:rPr>
                <w:rFonts w:ascii="Times New Roman" w:hAnsi="Times New Roman" w:cs="Times New Roman"/>
                <w:sz w:val="20"/>
                <w:szCs w:val="20"/>
              </w:rPr>
              <w:t xml:space="preserve"> </w:t>
            </w:r>
            <w:r w:rsidRPr="00C0472F">
              <w:rPr>
                <w:rFonts w:ascii="Times New Roman" w:hAnsi="Times New Roman" w:cs="Times New Roman"/>
                <w:sz w:val="20"/>
                <w:szCs w:val="20"/>
              </w:rPr>
              <w:t>du contrat dérivé, telle que contractuellement définie: date d'échéance, date d'expiration des options (européennes ou américaines), etc.</w:t>
            </w:r>
          </w:p>
        </w:tc>
      </w:tr>
    </w:tbl>
    <w:p w14:paraId="3BC1CAB9" w14:textId="77777777" w:rsidR="00C44F2A" w:rsidRPr="00C20B08" w:rsidRDefault="00C44F2A" w:rsidP="00535385">
      <w:pPr>
        <w:spacing w:after="0"/>
        <w:jc w:val="center"/>
        <w:rPr>
          <w:rFonts w:ascii="Garamond" w:hAnsi="Garamond"/>
        </w:rPr>
      </w:pPr>
    </w:p>
    <w:p w14:paraId="148AFDE4" w14:textId="77777777" w:rsidR="00C44F2A" w:rsidRDefault="00C44F2A">
      <w:pPr>
        <w:spacing w:after="0" w:line="240" w:lineRule="auto"/>
        <w:jc w:val="center"/>
        <w:rPr>
          <w:rFonts w:ascii="Garamond" w:eastAsia="Times New Roman" w:hAnsi="Garamond" w:cs="Times New Roman"/>
          <w:b/>
          <w:color w:val="003B8E"/>
          <w:lang w:eastAsia="fr-FR"/>
        </w:rPr>
      </w:pPr>
    </w:p>
    <w:p w14:paraId="333ACFC6" w14:textId="05F8C136" w:rsidR="00F3043D" w:rsidRDefault="00F3043D" w:rsidP="00535385">
      <w:pPr>
        <w:spacing w:after="0"/>
      </w:pPr>
    </w:p>
    <w:p w14:paraId="3318D6C9" w14:textId="3CE8253B" w:rsidR="007374C2" w:rsidRDefault="007374C2" w:rsidP="00535385">
      <w:pPr>
        <w:spacing w:after="0"/>
      </w:pPr>
    </w:p>
    <w:p w14:paraId="50F2A026" w14:textId="77777777" w:rsidR="007374C2" w:rsidRDefault="007374C2" w:rsidP="00535385">
      <w:pPr>
        <w:spacing w:after="0"/>
        <w:sectPr w:rsidR="007374C2">
          <w:footerReference w:type="default" r:id="rId9"/>
          <w:pgSz w:w="11906" w:h="16838"/>
          <w:pgMar w:top="1417" w:right="1417" w:bottom="1417" w:left="1417" w:header="708" w:footer="708" w:gutter="0"/>
          <w:cols w:space="708"/>
          <w:docGrid w:linePitch="360"/>
        </w:sectPr>
      </w:pPr>
    </w:p>
    <w:tbl>
      <w:tblPr>
        <w:tblW w:w="13660" w:type="dxa"/>
        <w:tblCellMar>
          <w:left w:w="70" w:type="dxa"/>
          <w:right w:w="70" w:type="dxa"/>
        </w:tblCellMar>
        <w:tblLook w:val="04A0" w:firstRow="1" w:lastRow="0" w:firstColumn="1" w:lastColumn="0" w:noHBand="0" w:noVBand="1"/>
      </w:tblPr>
      <w:tblGrid>
        <w:gridCol w:w="1660"/>
        <w:gridCol w:w="1700"/>
        <w:gridCol w:w="1920"/>
        <w:gridCol w:w="1900"/>
        <w:gridCol w:w="2280"/>
        <w:gridCol w:w="1200"/>
        <w:gridCol w:w="1620"/>
        <w:gridCol w:w="1380"/>
      </w:tblGrid>
      <w:tr w:rsidR="007374C2" w:rsidRPr="007374C2" w14:paraId="16D9775A" w14:textId="77777777" w:rsidTr="007374C2">
        <w:trPr>
          <w:trHeight w:val="300"/>
        </w:trPr>
        <w:tc>
          <w:tcPr>
            <w:tcW w:w="1660" w:type="dxa"/>
            <w:tcBorders>
              <w:top w:val="nil"/>
              <w:left w:val="nil"/>
              <w:bottom w:val="nil"/>
              <w:right w:val="nil"/>
            </w:tcBorders>
            <w:shd w:val="clear" w:color="auto" w:fill="auto"/>
            <w:noWrap/>
            <w:vAlign w:val="bottom"/>
            <w:hideMark/>
          </w:tcPr>
          <w:p w14:paraId="47E4279A" w14:textId="77777777" w:rsidR="007374C2" w:rsidRPr="007374C2" w:rsidRDefault="007374C2" w:rsidP="007374C2">
            <w:pPr>
              <w:spacing w:after="0" w:line="240" w:lineRule="auto"/>
              <w:rPr>
                <w:rFonts w:ascii="Calibri" w:eastAsia="Times New Roman" w:hAnsi="Calibri" w:cs="Calibri"/>
                <w:b/>
                <w:bCs/>
                <w:color w:val="FF0000"/>
                <w:lang w:eastAsia="fr-FR"/>
              </w:rPr>
            </w:pPr>
            <w:r w:rsidRPr="007374C2">
              <w:rPr>
                <w:rFonts w:ascii="Calibri" w:eastAsia="Times New Roman" w:hAnsi="Calibri" w:cs="Calibri"/>
                <w:b/>
                <w:bCs/>
                <w:color w:val="FF0000"/>
                <w:lang w:eastAsia="fr-FR"/>
              </w:rPr>
              <w:t>PFE.08.02.24</w:t>
            </w:r>
          </w:p>
        </w:tc>
        <w:tc>
          <w:tcPr>
            <w:tcW w:w="1700" w:type="dxa"/>
            <w:tcBorders>
              <w:top w:val="nil"/>
              <w:left w:val="nil"/>
              <w:bottom w:val="nil"/>
              <w:right w:val="nil"/>
            </w:tcBorders>
            <w:shd w:val="clear" w:color="auto" w:fill="auto"/>
            <w:noWrap/>
            <w:vAlign w:val="bottom"/>
            <w:hideMark/>
          </w:tcPr>
          <w:p w14:paraId="16D009BA" w14:textId="77777777" w:rsidR="007374C2" w:rsidRPr="007374C2" w:rsidRDefault="007374C2" w:rsidP="007374C2">
            <w:pPr>
              <w:spacing w:after="0" w:line="240" w:lineRule="auto"/>
              <w:rPr>
                <w:rFonts w:ascii="Calibri" w:eastAsia="Times New Roman" w:hAnsi="Calibri" w:cs="Calibri"/>
                <w:b/>
                <w:bCs/>
                <w:color w:val="FF0000"/>
                <w:lang w:eastAsia="fr-FR"/>
              </w:rPr>
            </w:pPr>
          </w:p>
        </w:tc>
        <w:tc>
          <w:tcPr>
            <w:tcW w:w="1920" w:type="dxa"/>
            <w:tcBorders>
              <w:top w:val="nil"/>
              <w:left w:val="nil"/>
              <w:bottom w:val="nil"/>
              <w:right w:val="nil"/>
            </w:tcBorders>
            <w:shd w:val="clear" w:color="auto" w:fill="auto"/>
            <w:noWrap/>
            <w:vAlign w:val="bottom"/>
            <w:hideMark/>
          </w:tcPr>
          <w:p w14:paraId="4611E2B0"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c>
          <w:tcPr>
            <w:tcW w:w="1900" w:type="dxa"/>
            <w:tcBorders>
              <w:top w:val="nil"/>
              <w:left w:val="nil"/>
              <w:bottom w:val="nil"/>
              <w:right w:val="nil"/>
            </w:tcBorders>
            <w:shd w:val="clear" w:color="auto" w:fill="auto"/>
            <w:noWrap/>
            <w:vAlign w:val="bottom"/>
            <w:hideMark/>
          </w:tcPr>
          <w:p w14:paraId="373243AB"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c>
          <w:tcPr>
            <w:tcW w:w="2280" w:type="dxa"/>
            <w:tcBorders>
              <w:top w:val="nil"/>
              <w:left w:val="nil"/>
              <w:bottom w:val="nil"/>
              <w:right w:val="nil"/>
            </w:tcBorders>
            <w:shd w:val="clear" w:color="auto" w:fill="auto"/>
            <w:noWrap/>
            <w:vAlign w:val="bottom"/>
            <w:hideMark/>
          </w:tcPr>
          <w:p w14:paraId="1E5AC6C6"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14:paraId="1B8850A1"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c>
          <w:tcPr>
            <w:tcW w:w="1620" w:type="dxa"/>
            <w:tcBorders>
              <w:top w:val="nil"/>
              <w:left w:val="nil"/>
              <w:bottom w:val="nil"/>
              <w:right w:val="nil"/>
            </w:tcBorders>
            <w:shd w:val="clear" w:color="auto" w:fill="auto"/>
            <w:noWrap/>
            <w:vAlign w:val="bottom"/>
            <w:hideMark/>
          </w:tcPr>
          <w:p w14:paraId="5789FAE4"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c>
          <w:tcPr>
            <w:tcW w:w="1380" w:type="dxa"/>
            <w:tcBorders>
              <w:top w:val="nil"/>
              <w:left w:val="nil"/>
              <w:bottom w:val="nil"/>
              <w:right w:val="nil"/>
            </w:tcBorders>
            <w:shd w:val="clear" w:color="auto" w:fill="auto"/>
            <w:noWrap/>
            <w:vAlign w:val="bottom"/>
            <w:hideMark/>
          </w:tcPr>
          <w:p w14:paraId="636AE4D4"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r>
      <w:tr w:rsidR="007374C2" w:rsidRPr="007374C2" w14:paraId="6C64B5C1" w14:textId="77777777" w:rsidTr="007374C2">
        <w:trPr>
          <w:trHeight w:val="300"/>
        </w:trPr>
        <w:tc>
          <w:tcPr>
            <w:tcW w:w="5280" w:type="dxa"/>
            <w:gridSpan w:val="3"/>
            <w:tcBorders>
              <w:top w:val="nil"/>
              <w:left w:val="nil"/>
              <w:bottom w:val="nil"/>
              <w:right w:val="nil"/>
            </w:tcBorders>
            <w:shd w:val="clear" w:color="auto" w:fill="auto"/>
            <w:noWrap/>
            <w:vAlign w:val="bottom"/>
            <w:hideMark/>
          </w:tcPr>
          <w:p w14:paraId="2FC48579" w14:textId="77777777" w:rsidR="007374C2" w:rsidRPr="007374C2" w:rsidRDefault="007374C2" w:rsidP="007374C2">
            <w:pPr>
              <w:spacing w:after="0" w:line="240" w:lineRule="auto"/>
              <w:rPr>
                <w:rFonts w:ascii="Calibri" w:eastAsia="Times New Roman" w:hAnsi="Calibri" w:cs="Calibri"/>
                <w:b/>
                <w:bCs/>
                <w:color w:val="000000"/>
                <w:lang w:eastAsia="fr-FR"/>
              </w:rPr>
            </w:pPr>
            <w:r w:rsidRPr="007374C2">
              <w:rPr>
                <w:rFonts w:ascii="Calibri" w:eastAsia="Times New Roman" w:hAnsi="Calibri" w:cs="Calibri"/>
                <w:b/>
                <w:bCs/>
                <w:color w:val="000000"/>
                <w:lang w:eastAsia="fr-FR"/>
              </w:rPr>
              <w:t>Positions ouvertes sur produits dérivés</w:t>
            </w:r>
          </w:p>
        </w:tc>
        <w:tc>
          <w:tcPr>
            <w:tcW w:w="1900" w:type="dxa"/>
            <w:tcBorders>
              <w:top w:val="nil"/>
              <w:left w:val="nil"/>
              <w:bottom w:val="nil"/>
              <w:right w:val="nil"/>
            </w:tcBorders>
            <w:shd w:val="clear" w:color="auto" w:fill="auto"/>
            <w:noWrap/>
            <w:vAlign w:val="bottom"/>
            <w:hideMark/>
          </w:tcPr>
          <w:p w14:paraId="21413B44" w14:textId="77777777" w:rsidR="007374C2" w:rsidRPr="007374C2" w:rsidRDefault="007374C2" w:rsidP="007374C2">
            <w:pPr>
              <w:spacing w:after="0" w:line="240" w:lineRule="auto"/>
              <w:rPr>
                <w:rFonts w:ascii="Calibri" w:eastAsia="Times New Roman" w:hAnsi="Calibri" w:cs="Calibri"/>
                <w:b/>
                <w:bCs/>
                <w:color w:val="000000"/>
                <w:lang w:eastAsia="fr-FR"/>
              </w:rPr>
            </w:pPr>
          </w:p>
        </w:tc>
        <w:tc>
          <w:tcPr>
            <w:tcW w:w="2280" w:type="dxa"/>
            <w:tcBorders>
              <w:top w:val="nil"/>
              <w:left w:val="nil"/>
              <w:bottom w:val="nil"/>
              <w:right w:val="nil"/>
            </w:tcBorders>
            <w:shd w:val="clear" w:color="auto" w:fill="auto"/>
            <w:noWrap/>
            <w:vAlign w:val="bottom"/>
            <w:hideMark/>
          </w:tcPr>
          <w:p w14:paraId="5E8B5E0B"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14:paraId="23A3AAA2"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c>
          <w:tcPr>
            <w:tcW w:w="1620" w:type="dxa"/>
            <w:tcBorders>
              <w:top w:val="nil"/>
              <w:left w:val="nil"/>
              <w:bottom w:val="nil"/>
              <w:right w:val="nil"/>
            </w:tcBorders>
            <w:shd w:val="clear" w:color="auto" w:fill="auto"/>
            <w:noWrap/>
            <w:vAlign w:val="bottom"/>
            <w:hideMark/>
          </w:tcPr>
          <w:p w14:paraId="58D5CC23"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c>
          <w:tcPr>
            <w:tcW w:w="1380" w:type="dxa"/>
            <w:tcBorders>
              <w:top w:val="nil"/>
              <w:left w:val="nil"/>
              <w:bottom w:val="nil"/>
              <w:right w:val="nil"/>
            </w:tcBorders>
            <w:shd w:val="clear" w:color="auto" w:fill="auto"/>
            <w:noWrap/>
            <w:vAlign w:val="bottom"/>
            <w:hideMark/>
          </w:tcPr>
          <w:p w14:paraId="1D0538E7"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r>
      <w:tr w:rsidR="007374C2" w:rsidRPr="007374C2" w14:paraId="12BF3A84" w14:textId="77777777" w:rsidTr="007374C2">
        <w:trPr>
          <w:trHeight w:val="300"/>
        </w:trPr>
        <w:tc>
          <w:tcPr>
            <w:tcW w:w="1660" w:type="dxa"/>
            <w:tcBorders>
              <w:top w:val="nil"/>
              <w:left w:val="nil"/>
              <w:bottom w:val="nil"/>
              <w:right w:val="nil"/>
            </w:tcBorders>
            <w:shd w:val="clear" w:color="auto" w:fill="auto"/>
            <w:vAlign w:val="bottom"/>
            <w:hideMark/>
          </w:tcPr>
          <w:p w14:paraId="6E9DA406"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c>
          <w:tcPr>
            <w:tcW w:w="1700" w:type="dxa"/>
            <w:tcBorders>
              <w:top w:val="nil"/>
              <w:left w:val="nil"/>
              <w:bottom w:val="nil"/>
              <w:right w:val="nil"/>
            </w:tcBorders>
            <w:shd w:val="clear" w:color="auto" w:fill="auto"/>
            <w:noWrap/>
            <w:vAlign w:val="bottom"/>
            <w:hideMark/>
          </w:tcPr>
          <w:p w14:paraId="30AA5E36"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c>
          <w:tcPr>
            <w:tcW w:w="1920" w:type="dxa"/>
            <w:tcBorders>
              <w:top w:val="nil"/>
              <w:left w:val="nil"/>
              <w:bottom w:val="nil"/>
              <w:right w:val="nil"/>
            </w:tcBorders>
            <w:shd w:val="clear" w:color="auto" w:fill="auto"/>
            <w:noWrap/>
            <w:vAlign w:val="bottom"/>
            <w:hideMark/>
          </w:tcPr>
          <w:p w14:paraId="12ED03FA"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c>
          <w:tcPr>
            <w:tcW w:w="1900" w:type="dxa"/>
            <w:tcBorders>
              <w:top w:val="nil"/>
              <w:left w:val="nil"/>
              <w:bottom w:val="nil"/>
              <w:right w:val="nil"/>
            </w:tcBorders>
            <w:shd w:val="clear" w:color="auto" w:fill="auto"/>
            <w:noWrap/>
            <w:vAlign w:val="bottom"/>
            <w:hideMark/>
          </w:tcPr>
          <w:p w14:paraId="29BE56CD"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c>
          <w:tcPr>
            <w:tcW w:w="2280" w:type="dxa"/>
            <w:tcBorders>
              <w:top w:val="nil"/>
              <w:left w:val="nil"/>
              <w:bottom w:val="nil"/>
              <w:right w:val="nil"/>
            </w:tcBorders>
            <w:shd w:val="clear" w:color="auto" w:fill="auto"/>
            <w:noWrap/>
            <w:vAlign w:val="bottom"/>
            <w:hideMark/>
          </w:tcPr>
          <w:p w14:paraId="0614CD2B"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14:paraId="670FA42A"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c>
          <w:tcPr>
            <w:tcW w:w="1620" w:type="dxa"/>
            <w:tcBorders>
              <w:top w:val="nil"/>
              <w:left w:val="nil"/>
              <w:bottom w:val="nil"/>
              <w:right w:val="nil"/>
            </w:tcBorders>
            <w:shd w:val="clear" w:color="auto" w:fill="auto"/>
            <w:noWrap/>
            <w:vAlign w:val="bottom"/>
            <w:hideMark/>
          </w:tcPr>
          <w:p w14:paraId="5E19CC47"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c>
          <w:tcPr>
            <w:tcW w:w="1380" w:type="dxa"/>
            <w:tcBorders>
              <w:top w:val="nil"/>
              <w:left w:val="nil"/>
              <w:bottom w:val="nil"/>
              <w:right w:val="nil"/>
            </w:tcBorders>
            <w:shd w:val="clear" w:color="auto" w:fill="auto"/>
            <w:noWrap/>
            <w:vAlign w:val="bottom"/>
            <w:hideMark/>
          </w:tcPr>
          <w:p w14:paraId="1EBEA4A6"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r>
      <w:tr w:rsidR="007374C2" w:rsidRPr="007374C2" w14:paraId="080ADD93" w14:textId="77777777" w:rsidTr="007374C2">
        <w:trPr>
          <w:trHeight w:val="300"/>
        </w:trPr>
        <w:tc>
          <w:tcPr>
            <w:tcW w:w="1660" w:type="dxa"/>
            <w:tcBorders>
              <w:top w:val="nil"/>
              <w:left w:val="nil"/>
              <w:bottom w:val="nil"/>
              <w:right w:val="nil"/>
            </w:tcBorders>
            <w:shd w:val="clear" w:color="auto" w:fill="auto"/>
            <w:noWrap/>
            <w:vAlign w:val="bottom"/>
            <w:hideMark/>
          </w:tcPr>
          <w:p w14:paraId="4D3494FF" w14:textId="77777777" w:rsidR="007374C2" w:rsidRPr="007374C2" w:rsidRDefault="007374C2" w:rsidP="007374C2">
            <w:pPr>
              <w:spacing w:after="0" w:line="240" w:lineRule="auto"/>
              <w:rPr>
                <w:rFonts w:ascii="Calibri" w:eastAsia="Times New Roman" w:hAnsi="Calibri" w:cs="Calibri"/>
                <w:b/>
                <w:bCs/>
                <w:color w:val="FF0000"/>
                <w:lang w:eastAsia="fr-FR"/>
              </w:rPr>
            </w:pPr>
            <w:r w:rsidRPr="007374C2">
              <w:rPr>
                <w:rFonts w:ascii="Calibri" w:eastAsia="Times New Roman" w:hAnsi="Calibri" w:cs="Calibri"/>
                <w:b/>
                <w:bCs/>
                <w:color w:val="FF0000"/>
                <w:lang w:eastAsia="fr-FR"/>
              </w:rPr>
              <w:t>PFE.08.02.24.01</w:t>
            </w:r>
          </w:p>
        </w:tc>
        <w:tc>
          <w:tcPr>
            <w:tcW w:w="1700" w:type="dxa"/>
            <w:tcBorders>
              <w:top w:val="nil"/>
              <w:left w:val="nil"/>
              <w:bottom w:val="nil"/>
              <w:right w:val="nil"/>
            </w:tcBorders>
            <w:shd w:val="clear" w:color="auto" w:fill="auto"/>
            <w:noWrap/>
            <w:vAlign w:val="bottom"/>
            <w:hideMark/>
          </w:tcPr>
          <w:p w14:paraId="7544D991" w14:textId="77777777" w:rsidR="007374C2" w:rsidRPr="007374C2" w:rsidRDefault="007374C2" w:rsidP="007374C2">
            <w:pPr>
              <w:spacing w:after="0" w:line="240" w:lineRule="auto"/>
              <w:rPr>
                <w:rFonts w:ascii="Calibri" w:eastAsia="Times New Roman" w:hAnsi="Calibri" w:cs="Calibri"/>
                <w:b/>
                <w:bCs/>
                <w:color w:val="FF0000"/>
                <w:lang w:eastAsia="fr-FR"/>
              </w:rPr>
            </w:pPr>
          </w:p>
        </w:tc>
        <w:tc>
          <w:tcPr>
            <w:tcW w:w="1920" w:type="dxa"/>
            <w:tcBorders>
              <w:top w:val="nil"/>
              <w:left w:val="nil"/>
              <w:bottom w:val="nil"/>
              <w:right w:val="nil"/>
            </w:tcBorders>
            <w:shd w:val="clear" w:color="auto" w:fill="auto"/>
            <w:noWrap/>
            <w:vAlign w:val="bottom"/>
            <w:hideMark/>
          </w:tcPr>
          <w:p w14:paraId="6D5B9532"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c>
          <w:tcPr>
            <w:tcW w:w="1900" w:type="dxa"/>
            <w:tcBorders>
              <w:top w:val="nil"/>
              <w:left w:val="nil"/>
              <w:bottom w:val="nil"/>
              <w:right w:val="nil"/>
            </w:tcBorders>
            <w:shd w:val="clear" w:color="auto" w:fill="auto"/>
            <w:noWrap/>
            <w:vAlign w:val="bottom"/>
            <w:hideMark/>
          </w:tcPr>
          <w:p w14:paraId="6D779360"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c>
          <w:tcPr>
            <w:tcW w:w="2280" w:type="dxa"/>
            <w:tcBorders>
              <w:top w:val="nil"/>
              <w:left w:val="nil"/>
              <w:bottom w:val="nil"/>
              <w:right w:val="nil"/>
            </w:tcBorders>
            <w:shd w:val="clear" w:color="auto" w:fill="auto"/>
            <w:noWrap/>
            <w:vAlign w:val="bottom"/>
            <w:hideMark/>
          </w:tcPr>
          <w:p w14:paraId="1F5DBF97"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14:paraId="6A8BC51E"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c>
          <w:tcPr>
            <w:tcW w:w="1620" w:type="dxa"/>
            <w:tcBorders>
              <w:top w:val="nil"/>
              <w:left w:val="nil"/>
              <w:bottom w:val="nil"/>
              <w:right w:val="nil"/>
            </w:tcBorders>
            <w:shd w:val="clear" w:color="auto" w:fill="auto"/>
            <w:noWrap/>
            <w:vAlign w:val="bottom"/>
            <w:hideMark/>
          </w:tcPr>
          <w:p w14:paraId="0F15F1C2"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c>
          <w:tcPr>
            <w:tcW w:w="1380" w:type="dxa"/>
            <w:tcBorders>
              <w:top w:val="nil"/>
              <w:left w:val="nil"/>
              <w:bottom w:val="nil"/>
              <w:right w:val="nil"/>
            </w:tcBorders>
            <w:shd w:val="clear" w:color="auto" w:fill="auto"/>
            <w:noWrap/>
            <w:vAlign w:val="bottom"/>
            <w:hideMark/>
          </w:tcPr>
          <w:p w14:paraId="57E85B7E"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r>
      <w:tr w:rsidR="007374C2" w:rsidRPr="007374C2" w14:paraId="795A04B3" w14:textId="77777777" w:rsidTr="007374C2">
        <w:trPr>
          <w:trHeight w:val="300"/>
        </w:trPr>
        <w:tc>
          <w:tcPr>
            <w:tcW w:w="5280" w:type="dxa"/>
            <w:gridSpan w:val="3"/>
            <w:tcBorders>
              <w:top w:val="nil"/>
              <w:left w:val="nil"/>
              <w:bottom w:val="nil"/>
              <w:right w:val="nil"/>
            </w:tcBorders>
            <w:shd w:val="clear" w:color="auto" w:fill="auto"/>
            <w:noWrap/>
            <w:hideMark/>
          </w:tcPr>
          <w:p w14:paraId="23E2F9FD" w14:textId="77777777" w:rsidR="007374C2" w:rsidRPr="007374C2" w:rsidRDefault="007374C2" w:rsidP="007374C2">
            <w:pPr>
              <w:spacing w:after="0" w:line="240" w:lineRule="auto"/>
              <w:rPr>
                <w:rFonts w:ascii="Calibri" w:eastAsia="Times New Roman" w:hAnsi="Calibri" w:cs="Calibri"/>
                <w:b/>
                <w:bCs/>
                <w:lang w:eastAsia="fr-FR"/>
              </w:rPr>
            </w:pPr>
            <w:r w:rsidRPr="007374C2">
              <w:rPr>
                <w:rFonts w:ascii="Calibri" w:eastAsia="Times New Roman" w:hAnsi="Calibri" w:cs="Calibri"/>
                <w:b/>
                <w:bCs/>
                <w:lang w:eastAsia="fr-FR"/>
              </w:rPr>
              <w:t>Informations sur les positions détenues</w:t>
            </w:r>
          </w:p>
        </w:tc>
        <w:tc>
          <w:tcPr>
            <w:tcW w:w="1900" w:type="dxa"/>
            <w:tcBorders>
              <w:top w:val="nil"/>
              <w:left w:val="nil"/>
              <w:bottom w:val="nil"/>
              <w:right w:val="nil"/>
            </w:tcBorders>
            <w:shd w:val="clear" w:color="auto" w:fill="auto"/>
            <w:noWrap/>
            <w:vAlign w:val="bottom"/>
            <w:hideMark/>
          </w:tcPr>
          <w:p w14:paraId="559D317B" w14:textId="77777777" w:rsidR="007374C2" w:rsidRPr="007374C2" w:rsidRDefault="007374C2" w:rsidP="007374C2">
            <w:pPr>
              <w:spacing w:after="0" w:line="240" w:lineRule="auto"/>
              <w:rPr>
                <w:rFonts w:ascii="Calibri" w:eastAsia="Times New Roman" w:hAnsi="Calibri" w:cs="Calibri"/>
                <w:b/>
                <w:bCs/>
                <w:lang w:eastAsia="fr-FR"/>
              </w:rPr>
            </w:pPr>
          </w:p>
        </w:tc>
        <w:tc>
          <w:tcPr>
            <w:tcW w:w="2280" w:type="dxa"/>
            <w:tcBorders>
              <w:top w:val="nil"/>
              <w:left w:val="nil"/>
              <w:bottom w:val="nil"/>
              <w:right w:val="nil"/>
            </w:tcBorders>
            <w:shd w:val="clear" w:color="auto" w:fill="auto"/>
            <w:noWrap/>
            <w:vAlign w:val="bottom"/>
            <w:hideMark/>
          </w:tcPr>
          <w:p w14:paraId="0A801BF8"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14:paraId="6FBDBC3A"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c>
          <w:tcPr>
            <w:tcW w:w="1620" w:type="dxa"/>
            <w:tcBorders>
              <w:top w:val="nil"/>
              <w:left w:val="nil"/>
              <w:bottom w:val="nil"/>
              <w:right w:val="nil"/>
            </w:tcBorders>
            <w:shd w:val="clear" w:color="auto" w:fill="auto"/>
            <w:noWrap/>
            <w:vAlign w:val="bottom"/>
            <w:hideMark/>
          </w:tcPr>
          <w:p w14:paraId="5CEAF3AE"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c>
          <w:tcPr>
            <w:tcW w:w="1380" w:type="dxa"/>
            <w:tcBorders>
              <w:top w:val="nil"/>
              <w:left w:val="nil"/>
              <w:bottom w:val="nil"/>
              <w:right w:val="nil"/>
            </w:tcBorders>
            <w:shd w:val="clear" w:color="auto" w:fill="auto"/>
            <w:noWrap/>
            <w:vAlign w:val="bottom"/>
            <w:hideMark/>
          </w:tcPr>
          <w:p w14:paraId="3C9348BB"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r>
      <w:tr w:rsidR="007374C2" w:rsidRPr="007374C2" w14:paraId="308F9DDD" w14:textId="77777777" w:rsidTr="007374C2">
        <w:trPr>
          <w:trHeight w:val="300"/>
        </w:trPr>
        <w:tc>
          <w:tcPr>
            <w:tcW w:w="1660" w:type="dxa"/>
            <w:tcBorders>
              <w:top w:val="nil"/>
              <w:left w:val="nil"/>
              <w:bottom w:val="nil"/>
              <w:right w:val="nil"/>
            </w:tcBorders>
            <w:shd w:val="clear" w:color="auto" w:fill="auto"/>
            <w:noWrap/>
            <w:vAlign w:val="bottom"/>
            <w:hideMark/>
          </w:tcPr>
          <w:p w14:paraId="0D732DE8"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c>
          <w:tcPr>
            <w:tcW w:w="1700" w:type="dxa"/>
            <w:tcBorders>
              <w:top w:val="nil"/>
              <w:left w:val="nil"/>
              <w:bottom w:val="nil"/>
              <w:right w:val="nil"/>
            </w:tcBorders>
            <w:shd w:val="clear" w:color="auto" w:fill="auto"/>
            <w:noWrap/>
            <w:vAlign w:val="bottom"/>
            <w:hideMark/>
          </w:tcPr>
          <w:p w14:paraId="16B4DFE5"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c>
          <w:tcPr>
            <w:tcW w:w="1920" w:type="dxa"/>
            <w:tcBorders>
              <w:top w:val="nil"/>
              <w:left w:val="nil"/>
              <w:bottom w:val="nil"/>
              <w:right w:val="nil"/>
            </w:tcBorders>
            <w:shd w:val="clear" w:color="auto" w:fill="auto"/>
            <w:noWrap/>
            <w:vAlign w:val="bottom"/>
            <w:hideMark/>
          </w:tcPr>
          <w:p w14:paraId="33FE1A07"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c>
          <w:tcPr>
            <w:tcW w:w="1900" w:type="dxa"/>
            <w:tcBorders>
              <w:top w:val="nil"/>
              <w:left w:val="nil"/>
              <w:bottom w:val="nil"/>
              <w:right w:val="nil"/>
            </w:tcBorders>
            <w:shd w:val="clear" w:color="auto" w:fill="auto"/>
            <w:noWrap/>
            <w:vAlign w:val="center"/>
            <w:hideMark/>
          </w:tcPr>
          <w:p w14:paraId="36393D1C"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c>
          <w:tcPr>
            <w:tcW w:w="2280" w:type="dxa"/>
            <w:tcBorders>
              <w:top w:val="nil"/>
              <w:left w:val="nil"/>
              <w:bottom w:val="nil"/>
              <w:right w:val="nil"/>
            </w:tcBorders>
            <w:shd w:val="clear" w:color="auto" w:fill="auto"/>
            <w:noWrap/>
            <w:vAlign w:val="bottom"/>
            <w:hideMark/>
          </w:tcPr>
          <w:p w14:paraId="4CEA2859"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14:paraId="4E1ABB9E"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c>
          <w:tcPr>
            <w:tcW w:w="1620" w:type="dxa"/>
            <w:tcBorders>
              <w:top w:val="nil"/>
              <w:left w:val="nil"/>
              <w:bottom w:val="nil"/>
              <w:right w:val="nil"/>
            </w:tcBorders>
            <w:shd w:val="clear" w:color="auto" w:fill="auto"/>
            <w:noWrap/>
            <w:vAlign w:val="bottom"/>
            <w:hideMark/>
          </w:tcPr>
          <w:p w14:paraId="729C7BB4"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c>
          <w:tcPr>
            <w:tcW w:w="1380" w:type="dxa"/>
            <w:tcBorders>
              <w:top w:val="nil"/>
              <w:left w:val="nil"/>
              <w:bottom w:val="nil"/>
              <w:right w:val="nil"/>
            </w:tcBorders>
            <w:shd w:val="clear" w:color="auto" w:fill="auto"/>
            <w:noWrap/>
            <w:vAlign w:val="bottom"/>
            <w:hideMark/>
          </w:tcPr>
          <w:p w14:paraId="7842AA63"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r>
      <w:tr w:rsidR="007374C2" w:rsidRPr="007374C2" w14:paraId="214BC39A" w14:textId="77777777" w:rsidTr="007374C2">
        <w:trPr>
          <w:trHeight w:val="1200"/>
        </w:trPr>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A7F18B"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Code d’identification de la ligne</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EA1533"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Code d’identification du dérivé</w:t>
            </w:r>
          </w:p>
        </w:tc>
        <w:tc>
          <w:tcPr>
            <w:tcW w:w="1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3C05BD"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Numéro d’enregistrement du PEPP</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B5170D"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PEPP de base/</w:t>
            </w:r>
            <w:r w:rsidRPr="007374C2">
              <w:rPr>
                <w:rFonts w:ascii="Calibri" w:eastAsia="Times New Roman" w:hAnsi="Calibri" w:cs="Calibri"/>
                <w:b/>
                <w:bCs/>
                <w:lang w:eastAsia="fr-FR"/>
              </w:rPr>
              <w:br/>
              <w:t>Autres options d’investissement</w:t>
            </w:r>
          </w:p>
        </w:tc>
        <w:tc>
          <w:tcPr>
            <w:tcW w:w="22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421D13"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Type de code d’identification du dérivé</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622317"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Instrument sous-jacent au dérivé</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E9043E"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Produit dérivé lié à un type de portefeuille spécifique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54A507"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Utilisation du dérivé</w:t>
            </w:r>
          </w:p>
        </w:tc>
      </w:tr>
      <w:tr w:rsidR="007374C2" w:rsidRPr="007374C2" w14:paraId="71B5661A" w14:textId="77777777" w:rsidTr="007374C2">
        <w:trPr>
          <w:trHeight w:val="30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729BBE6A"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C0001</w:t>
            </w:r>
          </w:p>
        </w:tc>
        <w:tc>
          <w:tcPr>
            <w:tcW w:w="1700" w:type="dxa"/>
            <w:tcBorders>
              <w:top w:val="nil"/>
              <w:left w:val="single" w:sz="4" w:space="0" w:color="auto"/>
              <w:bottom w:val="single" w:sz="4" w:space="0" w:color="auto"/>
              <w:right w:val="single" w:sz="4" w:space="0" w:color="auto"/>
            </w:tcBorders>
            <w:shd w:val="clear" w:color="auto" w:fill="auto"/>
            <w:vAlign w:val="center"/>
            <w:hideMark/>
          </w:tcPr>
          <w:p w14:paraId="5BE4CFAF"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C0010</w:t>
            </w:r>
          </w:p>
        </w:tc>
        <w:tc>
          <w:tcPr>
            <w:tcW w:w="1920" w:type="dxa"/>
            <w:tcBorders>
              <w:top w:val="nil"/>
              <w:left w:val="single" w:sz="4" w:space="0" w:color="auto"/>
              <w:bottom w:val="single" w:sz="4" w:space="0" w:color="auto"/>
              <w:right w:val="single" w:sz="4" w:space="0" w:color="auto"/>
            </w:tcBorders>
            <w:shd w:val="clear" w:color="auto" w:fill="auto"/>
            <w:vAlign w:val="center"/>
            <w:hideMark/>
          </w:tcPr>
          <w:p w14:paraId="74004B0E"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C0015</w:t>
            </w:r>
          </w:p>
        </w:tc>
        <w:tc>
          <w:tcPr>
            <w:tcW w:w="1900" w:type="dxa"/>
            <w:tcBorders>
              <w:top w:val="nil"/>
              <w:left w:val="single" w:sz="4" w:space="0" w:color="auto"/>
              <w:bottom w:val="single" w:sz="4" w:space="0" w:color="auto"/>
              <w:right w:val="single" w:sz="4" w:space="0" w:color="auto"/>
            </w:tcBorders>
            <w:shd w:val="clear" w:color="auto" w:fill="auto"/>
            <w:vAlign w:val="center"/>
            <w:hideMark/>
          </w:tcPr>
          <w:p w14:paraId="4A4C5A29"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C0016</w:t>
            </w:r>
          </w:p>
        </w:tc>
        <w:tc>
          <w:tcPr>
            <w:tcW w:w="2280" w:type="dxa"/>
            <w:tcBorders>
              <w:top w:val="nil"/>
              <w:left w:val="single" w:sz="4" w:space="0" w:color="auto"/>
              <w:bottom w:val="single" w:sz="4" w:space="0" w:color="auto"/>
              <w:right w:val="single" w:sz="4" w:space="0" w:color="auto"/>
            </w:tcBorders>
            <w:shd w:val="clear" w:color="auto" w:fill="auto"/>
            <w:vAlign w:val="center"/>
            <w:hideMark/>
          </w:tcPr>
          <w:p w14:paraId="6E2BBD52"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C0020</w:t>
            </w:r>
          </w:p>
        </w:tc>
        <w:tc>
          <w:tcPr>
            <w:tcW w:w="1200" w:type="dxa"/>
            <w:tcBorders>
              <w:top w:val="nil"/>
              <w:left w:val="single" w:sz="4" w:space="0" w:color="auto"/>
              <w:bottom w:val="single" w:sz="4" w:space="0" w:color="auto"/>
              <w:right w:val="single" w:sz="4" w:space="0" w:color="auto"/>
            </w:tcBorders>
            <w:shd w:val="clear" w:color="auto" w:fill="auto"/>
            <w:vAlign w:val="center"/>
            <w:hideMark/>
          </w:tcPr>
          <w:p w14:paraId="1F0AD83F"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C0090</w:t>
            </w:r>
          </w:p>
        </w:tc>
        <w:tc>
          <w:tcPr>
            <w:tcW w:w="1620" w:type="dxa"/>
            <w:tcBorders>
              <w:top w:val="nil"/>
              <w:left w:val="single" w:sz="4" w:space="0" w:color="auto"/>
              <w:bottom w:val="single" w:sz="4" w:space="0" w:color="auto"/>
              <w:right w:val="single" w:sz="4" w:space="0" w:color="auto"/>
            </w:tcBorders>
            <w:shd w:val="clear" w:color="auto" w:fill="auto"/>
            <w:vAlign w:val="center"/>
            <w:hideMark/>
          </w:tcPr>
          <w:p w14:paraId="7E169A43"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C0030</w:t>
            </w:r>
          </w:p>
        </w:tc>
        <w:tc>
          <w:tcPr>
            <w:tcW w:w="1380" w:type="dxa"/>
            <w:tcBorders>
              <w:top w:val="nil"/>
              <w:left w:val="single" w:sz="4" w:space="0" w:color="auto"/>
              <w:bottom w:val="single" w:sz="4" w:space="0" w:color="auto"/>
              <w:right w:val="single" w:sz="4" w:space="0" w:color="auto"/>
            </w:tcBorders>
            <w:shd w:val="clear" w:color="auto" w:fill="auto"/>
            <w:vAlign w:val="center"/>
            <w:hideMark/>
          </w:tcPr>
          <w:p w14:paraId="4428F114"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C0110</w:t>
            </w:r>
          </w:p>
        </w:tc>
      </w:tr>
      <w:tr w:rsidR="007374C2" w:rsidRPr="007374C2" w14:paraId="78D991B4" w14:textId="77777777" w:rsidTr="007374C2">
        <w:trPr>
          <w:trHeight w:val="30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571AEB7B"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 </w:t>
            </w:r>
          </w:p>
        </w:tc>
        <w:tc>
          <w:tcPr>
            <w:tcW w:w="1700" w:type="dxa"/>
            <w:tcBorders>
              <w:top w:val="nil"/>
              <w:left w:val="single" w:sz="4" w:space="0" w:color="auto"/>
              <w:bottom w:val="single" w:sz="4" w:space="0" w:color="auto"/>
              <w:right w:val="single" w:sz="4" w:space="0" w:color="auto"/>
            </w:tcBorders>
            <w:shd w:val="clear" w:color="auto" w:fill="auto"/>
            <w:vAlign w:val="center"/>
            <w:hideMark/>
          </w:tcPr>
          <w:p w14:paraId="3EC8A739"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 </w:t>
            </w:r>
          </w:p>
        </w:tc>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32C411DF" w14:textId="77777777" w:rsidR="007374C2" w:rsidRPr="007374C2" w:rsidRDefault="007374C2" w:rsidP="007374C2">
            <w:pPr>
              <w:spacing w:after="0" w:line="240" w:lineRule="auto"/>
              <w:jc w:val="center"/>
              <w:rPr>
                <w:rFonts w:ascii="Calibri" w:eastAsia="Times New Roman" w:hAnsi="Calibri" w:cs="Calibri"/>
                <w:lang w:eastAsia="fr-FR"/>
              </w:rPr>
            </w:pPr>
            <w:r w:rsidRPr="007374C2">
              <w:rPr>
                <w:rFonts w:ascii="Calibri" w:eastAsia="Times New Roman" w:hAnsi="Calibri" w:cs="Calibri"/>
                <w:lang w:eastAsia="fr-FR"/>
              </w:rPr>
              <w:t> </w:t>
            </w:r>
          </w:p>
        </w:tc>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6EE5B86" w14:textId="77777777" w:rsidR="007374C2" w:rsidRPr="007374C2" w:rsidRDefault="007374C2" w:rsidP="007374C2">
            <w:pPr>
              <w:spacing w:after="0" w:line="240" w:lineRule="auto"/>
              <w:jc w:val="center"/>
              <w:rPr>
                <w:rFonts w:ascii="Calibri" w:eastAsia="Times New Roman" w:hAnsi="Calibri" w:cs="Calibri"/>
                <w:lang w:eastAsia="fr-FR"/>
              </w:rPr>
            </w:pPr>
            <w:r w:rsidRPr="007374C2">
              <w:rPr>
                <w:rFonts w:ascii="Calibri" w:eastAsia="Times New Roman" w:hAnsi="Calibri" w:cs="Calibri"/>
                <w:lang w:eastAsia="fr-FR"/>
              </w:rPr>
              <w:t> </w:t>
            </w:r>
          </w:p>
        </w:tc>
        <w:tc>
          <w:tcPr>
            <w:tcW w:w="2280" w:type="dxa"/>
            <w:tcBorders>
              <w:top w:val="nil"/>
              <w:left w:val="single" w:sz="4" w:space="0" w:color="auto"/>
              <w:bottom w:val="single" w:sz="4" w:space="0" w:color="auto"/>
              <w:right w:val="single" w:sz="4" w:space="0" w:color="auto"/>
            </w:tcBorders>
            <w:shd w:val="clear" w:color="auto" w:fill="auto"/>
            <w:vAlign w:val="center"/>
            <w:hideMark/>
          </w:tcPr>
          <w:p w14:paraId="2139F069"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 </w:t>
            </w:r>
          </w:p>
        </w:tc>
        <w:tc>
          <w:tcPr>
            <w:tcW w:w="1200" w:type="dxa"/>
            <w:tcBorders>
              <w:top w:val="nil"/>
              <w:left w:val="single" w:sz="4" w:space="0" w:color="auto"/>
              <w:bottom w:val="single" w:sz="4" w:space="0" w:color="auto"/>
              <w:right w:val="single" w:sz="4" w:space="0" w:color="auto"/>
            </w:tcBorders>
            <w:shd w:val="clear" w:color="auto" w:fill="auto"/>
            <w:vAlign w:val="center"/>
            <w:hideMark/>
          </w:tcPr>
          <w:p w14:paraId="46C89F9F"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 </w:t>
            </w:r>
          </w:p>
        </w:tc>
        <w:tc>
          <w:tcPr>
            <w:tcW w:w="1620" w:type="dxa"/>
            <w:tcBorders>
              <w:top w:val="nil"/>
              <w:left w:val="single" w:sz="4" w:space="0" w:color="auto"/>
              <w:bottom w:val="single" w:sz="4" w:space="0" w:color="auto"/>
              <w:right w:val="single" w:sz="4" w:space="0" w:color="auto"/>
            </w:tcBorders>
            <w:shd w:val="clear" w:color="auto" w:fill="auto"/>
            <w:vAlign w:val="center"/>
            <w:hideMark/>
          </w:tcPr>
          <w:p w14:paraId="19A06870"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 </w:t>
            </w:r>
          </w:p>
        </w:tc>
        <w:tc>
          <w:tcPr>
            <w:tcW w:w="1380" w:type="dxa"/>
            <w:tcBorders>
              <w:top w:val="nil"/>
              <w:left w:val="single" w:sz="4" w:space="0" w:color="auto"/>
              <w:bottom w:val="single" w:sz="4" w:space="0" w:color="auto"/>
              <w:right w:val="single" w:sz="4" w:space="0" w:color="auto"/>
            </w:tcBorders>
            <w:shd w:val="clear" w:color="auto" w:fill="auto"/>
            <w:vAlign w:val="center"/>
            <w:hideMark/>
          </w:tcPr>
          <w:p w14:paraId="39D343B7"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 </w:t>
            </w:r>
          </w:p>
        </w:tc>
      </w:tr>
    </w:tbl>
    <w:p w14:paraId="30E91C21" w14:textId="46813A04" w:rsidR="007374C2" w:rsidRDefault="007374C2" w:rsidP="00535385">
      <w:pPr>
        <w:spacing w:after="0"/>
      </w:pPr>
    </w:p>
    <w:tbl>
      <w:tblPr>
        <w:tblW w:w="13603" w:type="dxa"/>
        <w:tblCellMar>
          <w:left w:w="70" w:type="dxa"/>
          <w:right w:w="70" w:type="dxa"/>
        </w:tblCellMar>
        <w:tblLook w:val="04A0" w:firstRow="1" w:lastRow="0" w:firstColumn="1" w:lastColumn="0" w:noHBand="0" w:noVBand="1"/>
      </w:tblPr>
      <w:tblGrid>
        <w:gridCol w:w="1555"/>
        <w:gridCol w:w="1842"/>
        <w:gridCol w:w="1701"/>
        <w:gridCol w:w="1418"/>
        <w:gridCol w:w="1701"/>
        <w:gridCol w:w="1701"/>
        <w:gridCol w:w="1701"/>
        <w:gridCol w:w="1984"/>
      </w:tblGrid>
      <w:tr w:rsidR="007374C2" w:rsidRPr="007374C2" w14:paraId="320CE571" w14:textId="77777777" w:rsidTr="0085196F">
        <w:trPr>
          <w:trHeight w:val="1200"/>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6C74D8"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Delta</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CB3DBC"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Montant notionnel du dérivé</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0C4922"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Positions acheteur/ vendeur</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5E96A9"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Prime versée à ce jour</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C6AE3B"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Prime reçue à ce jour</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16E94D"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Nombre de contrats</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00D69D"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Taille du contrat</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35FBE3"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Perte maximale en cas d’événement de dénouement</w:t>
            </w:r>
          </w:p>
        </w:tc>
      </w:tr>
      <w:tr w:rsidR="007374C2" w:rsidRPr="007374C2" w14:paraId="103AE828" w14:textId="77777777" w:rsidTr="0085196F">
        <w:trPr>
          <w:trHeight w:val="30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33CAFFD0"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C0120</w:t>
            </w:r>
          </w:p>
        </w:tc>
        <w:tc>
          <w:tcPr>
            <w:tcW w:w="1842" w:type="dxa"/>
            <w:tcBorders>
              <w:top w:val="nil"/>
              <w:left w:val="single" w:sz="4" w:space="0" w:color="auto"/>
              <w:bottom w:val="single" w:sz="4" w:space="0" w:color="auto"/>
              <w:right w:val="single" w:sz="4" w:space="0" w:color="auto"/>
            </w:tcBorders>
            <w:shd w:val="clear" w:color="auto" w:fill="auto"/>
            <w:vAlign w:val="center"/>
            <w:hideMark/>
          </w:tcPr>
          <w:p w14:paraId="0DC495AC"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C0140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49AEA96C"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C0140</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4CA66814"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C0150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26F3AAEC"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C0160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6CF0E989"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C0170</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713C29BF"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C0180</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14:paraId="2C1A83B1"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C0190</w:t>
            </w:r>
          </w:p>
        </w:tc>
      </w:tr>
      <w:tr w:rsidR="007374C2" w:rsidRPr="007374C2" w14:paraId="177AA22D" w14:textId="77777777" w:rsidTr="0085196F">
        <w:trPr>
          <w:trHeight w:val="30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3EE90B9E"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 </w:t>
            </w:r>
          </w:p>
        </w:tc>
        <w:tc>
          <w:tcPr>
            <w:tcW w:w="1842" w:type="dxa"/>
            <w:tcBorders>
              <w:top w:val="nil"/>
              <w:left w:val="single" w:sz="4" w:space="0" w:color="auto"/>
              <w:bottom w:val="single" w:sz="4" w:space="0" w:color="auto"/>
              <w:right w:val="single" w:sz="4" w:space="0" w:color="auto"/>
            </w:tcBorders>
            <w:shd w:val="clear" w:color="auto" w:fill="auto"/>
            <w:vAlign w:val="center"/>
            <w:hideMark/>
          </w:tcPr>
          <w:p w14:paraId="0D6F7203"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077586C1"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42BF4D4A"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4004EC0C"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17E04BDF"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12CB76BE"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 </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14:paraId="22970A80"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 </w:t>
            </w:r>
          </w:p>
        </w:tc>
      </w:tr>
    </w:tbl>
    <w:p w14:paraId="669B7B2D" w14:textId="62BED067" w:rsidR="007374C2" w:rsidRDefault="007374C2" w:rsidP="00535385">
      <w:pPr>
        <w:spacing w:after="0"/>
      </w:pPr>
    </w:p>
    <w:tbl>
      <w:tblPr>
        <w:tblW w:w="9140" w:type="dxa"/>
        <w:tblCellMar>
          <w:left w:w="70" w:type="dxa"/>
          <w:right w:w="70" w:type="dxa"/>
        </w:tblCellMar>
        <w:tblLook w:val="04A0" w:firstRow="1" w:lastRow="0" w:firstColumn="1" w:lastColumn="0" w:noHBand="0" w:noVBand="1"/>
      </w:tblPr>
      <w:tblGrid>
        <w:gridCol w:w="1815"/>
        <w:gridCol w:w="2391"/>
        <w:gridCol w:w="1197"/>
        <w:gridCol w:w="1318"/>
        <w:gridCol w:w="1198"/>
        <w:gridCol w:w="1221"/>
      </w:tblGrid>
      <w:tr w:rsidR="007374C2" w:rsidRPr="007374C2" w14:paraId="327454BE" w14:textId="77777777" w:rsidTr="007374C2">
        <w:trPr>
          <w:trHeight w:val="1200"/>
        </w:trPr>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859008"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Flux financiers sortants liés au contrat d’échange</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F37075"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Montant des entrées de trésorerie liées au contrat d’échange</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2DDB31"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Date initiale</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3EEAD3"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Duration</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C37C97"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Valeur de marché</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8F81D4"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Méthode de valorisation</w:t>
            </w:r>
          </w:p>
        </w:tc>
      </w:tr>
      <w:tr w:rsidR="007374C2" w:rsidRPr="007374C2" w14:paraId="5086BB67" w14:textId="77777777" w:rsidTr="007374C2">
        <w:trPr>
          <w:trHeight w:val="300"/>
        </w:trPr>
        <w:tc>
          <w:tcPr>
            <w:tcW w:w="1820" w:type="dxa"/>
            <w:tcBorders>
              <w:top w:val="nil"/>
              <w:left w:val="single" w:sz="4" w:space="0" w:color="auto"/>
              <w:bottom w:val="single" w:sz="4" w:space="0" w:color="auto"/>
              <w:right w:val="single" w:sz="4" w:space="0" w:color="auto"/>
            </w:tcBorders>
            <w:shd w:val="clear" w:color="auto" w:fill="auto"/>
            <w:vAlign w:val="center"/>
            <w:hideMark/>
          </w:tcPr>
          <w:p w14:paraId="33E3D5BD"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C0200</w:t>
            </w:r>
          </w:p>
        </w:tc>
        <w:tc>
          <w:tcPr>
            <w:tcW w:w="2400" w:type="dxa"/>
            <w:tcBorders>
              <w:top w:val="nil"/>
              <w:left w:val="single" w:sz="4" w:space="0" w:color="auto"/>
              <w:bottom w:val="single" w:sz="4" w:space="0" w:color="auto"/>
              <w:right w:val="single" w:sz="4" w:space="0" w:color="auto"/>
            </w:tcBorders>
            <w:shd w:val="clear" w:color="auto" w:fill="auto"/>
            <w:vAlign w:val="center"/>
            <w:hideMark/>
          </w:tcPr>
          <w:p w14:paraId="468B8FE6"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C0210</w:t>
            </w:r>
          </w:p>
        </w:tc>
        <w:tc>
          <w:tcPr>
            <w:tcW w:w="1200" w:type="dxa"/>
            <w:tcBorders>
              <w:top w:val="nil"/>
              <w:left w:val="single" w:sz="4" w:space="0" w:color="auto"/>
              <w:bottom w:val="single" w:sz="4" w:space="0" w:color="auto"/>
              <w:right w:val="single" w:sz="4" w:space="0" w:color="auto"/>
            </w:tcBorders>
            <w:shd w:val="clear" w:color="auto" w:fill="auto"/>
            <w:vAlign w:val="center"/>
            <w:hideMark/>
          </w:tcPr>
          <w:p w14:paraId="731C3508"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C0220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14:paraId="1C2B62E1"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C0230</w:t>
            </w:r>
          </w:p>
        </w:tc>
        <w:tc>
          <w:tcPr>
            <w:tcW w:w="1200" w:type="dxa"/>
            <w:tcBorders>
              <w:top w:val="nil"/>
              <w:left w:val="single" w:sz="4" w:space="0" w:color="auto"/>
              <w:bottom w:val="single" w:sz="4" w:space="0" w:color="auto"/>
              <w:right w:val="single" w:sz="4" w:space="0" w:color="auto"/>
            </w:tcBorders>
            <w:shd w:val="clear" w:color="auto" w:fill="auto"/>
            <w:vAlign w:val="center"/>
            <w:hideMark/>
          </w:tcPr>
          <w:p w14:paraId="477D05AA"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C0240</w:t>
            </w:r>
          </w:p>
        </w:tc>
        <w:tc>
          <w:tcPr>
            <w:tcW w:w="1200" w:type="dxa"/>
            <w:tcBorders>
              <w:top w:val="nil"/>
              <w:left w:val="single" w:sz="4" w:space="0" w:color="auto"/>
              <w:bottom w:val="single" w:sz="4" w:space="0" w:color="auto"/>
              <w:right w:val="single" w:sz="4" w:space="0" w:color="auto"/>
            </w:tcBorders>
            <w:shd w:val="clear" w:color="auto" w:fill="auto"/>
            <w:vAlign w:val="center"/>
            <w:hideMark/>
          </w:tcPr>
          <w:p w14:paraId="224F1FE1"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C0250</w:t>
            </w:r>
          </w:p>
        </w:tc>
      </w:tr>
      <w:tr w:rsidR="007374C2" w:rsidRPr="007374C2" w14:paraId="0A065376" w14:textId="77777777" w:rsidTr="007374C2">
        <w:trPr>
          <w:trHeight w:val="300"/>
        </w:trPr>
        <w:tc>
          <w:tcPr>
            <w:tcW w:w="1820" w:type="dxa"/>
            <w:tcBorders>
              <w:top w:val="nil"/>
              <w:left w:val="single" w:sz="4" w:space="0" w:color="auto"/>
              <w:bottom w:val="single" w:sz="4" w:space="0" w:color="auto"/>
              <w:right w:val="single" w:sz="4" w:space="0" w:color="auto"/>
            </w:tcBorders>
            <w:shd w:val="clear" w:color="auto" w:fill="auto"/>
            <w:vAlign w:val="center"/>
            <w:hideMark/>
          </w:tcPr>
          <w:p w14:paraId="5BD02EE4"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 </w:t>
            </w:r>
          </w:p>
        </w:tc>
        <w:tc>
          <w:tcPr>
            <w:tcW w:w="2400" w:type="dxa"/>
            <w:tcBorders>
              <w:top w:val="nil"/>
              <w:left w:val="single" w:sz="4" w:space="0" w:color="auto"/>
              <w:bottom w:val="single" w:sz="4" w:space="0" w:color="auto"/>
              <w:right w:val="single" w:sz="4" w:space="0" w:color="auto"/>
            </w:tcBorders>
            <w:shd w:val="clear" w:color="auto" w:fill="auto"/>
            <w:vAlign w:val="center"/>
            <w:hideMark/>
          </w:tcPr>
          <w:p w14:paraId="5CA3BDD0"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 </w:t>
            </w:r>
          </w:p>
        </w:tc>
        <w:tc>
          <w:tcPr>
            <w:tcW w:w="1200" w:type="dxa"/>
            <w:tcBorders>
              <w:top w:val="nil"/>
              <w:left w:val="single" w:sz="4" w:space="0" w:color="auto"/>
              <w:bottom w:val="single" w:sz="4" w:space="0" w:color="auto"/>
              <w:right w:val="single" w:sz="4" w:space="0" w:color="auto"/>
            </w:tcBorders>
            <w:shd w:val="clear" w:color="auto" w:fill="auto"/>
            <w:vAlign w:val="center"/>
            <w:hideMark/>
          </w:tcPr>
          <w:p w14:paraId="10B5BE5D"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 </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14:paraId="2754BB8C"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 </w:t>
            </w:r>
          </w:p>
        </w:tc>
        <w:tc>
          <w:tcPr>
            <w:tcW w:w="1200" w:type="dxa"/>
            <w:tcBorders>
              <w:top w:val="nil"/>
              <w:left w:val="single" w:sz="4" w:space="0" w:color="auto"/>
              <w:bottom w:val="single" w:sz="4" w:space="0" w:color="auto"/>
              <w:right w:val="single" w:sz="4" w:space="0" w:color="auto"/>
            </w:tcBorders>
            <w:shd w:val="clear" w:color="auto" w:fill="auto"/>
            <w:vAlign w:val="center"/>
            <w:hideMark/>
          </w:tcPr>
          <w:p w14:paraId="78ABA174"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 </w:t>
            </w:r>
          </w:p>
        </w:tc>
        <w:tc>
          <w:tcPr>
            <w:tcW w:w="1200" w:type="dxa"/>
            <w:tcBorders>
              <w:top w:val="nil"/>
              <w:left w:val="single" w:sz="4" w:space="0" w:color="auto"/>
              <w:bottom w:val="single" w:sz="4" w:space="0" w:color="auto"/>
              <w:right w:val="single" w:sz="4" w:space="0" w:color="auto"/>
            </w:tcBorders>
            <w:shd w:val="clear" w:color="auto" w:fill="auto"/>
            <w:vAlign w:val="center"/>
            <w:hideMark/>
          </w:tcPr>
          <w:p w14:paraId="6B5DD6CC"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 </w:t>
            </w:r>
          </w:p>
        </w:tc>
      </w:tr>
    </w:tbl>
    <w:p w14:paraId="4D4DDC7A" w14:textId="4B8B26E9" w:rsidR="007374C2" w:rsidRDefault="007374C2" w:rsidP="00535385">
      <w:pPr>
        <w:spacing w:after="0"/>
      </w:pPr>
    </w:p>
    <w:tbl>
      <w:tblPr>
        <w:tblW w:w="13660" w:type="dxa"/>
        <w:tblCellMar>
          <w:left w:w="70" w:type="dxa"/>
          <w:right w:w="70" w:type="dxa"/>
        </w:tblCellMar>
        <w:tblLook w:val="04A0" w:firstRow="1" w:lastRow="0" w:firstColumn="1" w:lastColumn="0" w:noHBand="0" w:noVBand="1"/>
      </w:tblPr>
      <w:tblGrid>
        <w:gridCol w:w="1660"/>
        <w:gridCol w:w="1700"/>
        <w:gridCol w:w="1920"/>
        <w:gridCol w:w="1900"/>
        <w:gridCol w:w="2280"/>
        <w:gridCol w:w="1200"/>
        <w:gridCol w:w="1620"/>
        <w:gridCol w:w="1380"/>
      </w:tblGrid>
      <w:tr w:rsidR="007374C2" w:rsidRPr="007374C2" w14:paraId="6F8AAD1A" w14:textId="77777777" w:rsidTr="007374C2">
        <w:trPr>
          <w:trHeight w:val="300"/>
        </w:trPr>
        <w:tc>
          <w:tcPr>
            <w:tcW w:w="1660" w:type="dxa"/>
            <w:tcBorders>
              <w:top w:val="nil"/>
              <w:left w:val="nil"/>
              <w:bottom w:val="nil"/>
              <w:right w:val="nil"/>
            </w:tcBorders>
            <w:shd w:val="clear" w:color="auto" w:fill="auto"/>
            <w:noWrap/>
            <w:vAlign w:val="bottom"/>
            <w:hideMark/>
          </w:tcPr>
          <w:p w14:paraId="4417FE2F" w14:textId="77777777" w:rsidR="007374C2" w:rsidRPr="007374C2" w:rsidRDefault="007374C2" w:rsidP="007374C2">
            <w:pPr>
              <w:spacing w:after="0" w:line="240" w:lineRule="auto"/>
              <w:rPr>
                <w:rFonts w:ascii="Calibri" w:eastAsia="Times New Roman" w:hAnsi="Calibri" w:cs="Calibri"/>
                <w:b/>
                <w:bCs/>
                <w:color w:val="FF0000"/>
                <w:lang w:eastAsia="fr-FR"/>
              </w:rPr>
            </w:pPr>
            <w:r w:rsidRPr="007374C2">
              <w:rPr>
                <w:rFonts w:ascii="Calibri" w:eastAsia="Times New Roman" w:hAnsi="Calibri" w:cs="Calibri"/>
                <w:b/>
                <w:bCs/>
                <w:color w:val="FF0000"/>
                <w:lang w:eastAsia="fr-FR"/>
              </w:rPr>
              <w:t>PFE.08.02.24.02</w:t>
            </w:r>
          </w:p>
        </w:tc>
        <w:tc>
          <w:tcPr>
            <w:tcW w:w="1700" w:type="dxa"/>
            <w:tcBorders>
              <w:top w:val="nil"/>
              <w:left w:val="nil"/>
              <w:bottom w:val="nil"/>
              <w:right w:val="nil"/>
            </w:tcBorders>
            <w:shd w:val="clear" w:color="auto" w:fill="auto"/>
            <w:noWrap/>
            <w:vAlign w:val="bottom"/>
            <w:hideMark/>
          </w:tcPr>
          <w:p w14:paraId="677F181B" w14:textId="77777777" w:rsidR="007374C2" w:rsidRPr="007374C2" w:rsidRDefault="007374C2" w:rsidP="007374C2">
            <w:pPr>
              <w:spacing w:after="0" w:line="240" w:lineRule="auto"/>
              <w:rPr>
                <w:rFonts w:ascii="Calibri" w:eastAsia="Times New Roman" w:hAnsi="Calibri" w:cs="Calibri"/>
                <w:b/>
                <w:bCs/>
                <w:color w:val="FF0000"/>
                <w:lang w:eastAsia="fr-FR"/>
              </w:rPr>
            </w:pPr>
          </w:p>
        </w:tc>
        <w:tc>
          <w:tcPr>
            <w:tcW w:w="1920" w:type="dxa"/>
            <w:tcBorders>
              <w:top w:val="nil"/>
              <w:left w:val="nil"/>
              <w:bottom w:val="nil"/>
              <w:right w:val="nil"/>
            </w:tcBorders>
            <w:shd w:val="clear" w:color="auto" w:fill="auto"/>
            <w:noWrap/>
            <w:vAlign w:val="bottom"/>
            <w:hideMark/>
          </w:tcPr>
          <w:p w14:paraId="11CCA525"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c>
          <w:tcPr>
            <w:tcW w:w="1900" w:type="dxa"/>
            <w:tcBorders>
              <w:top w:val="nil"/>
              <w:left w:val="nil"/>
              <w:bottom w:val="nil"/>
              <w:right w:val="nil"/>
            </w:tcBorders>
            <w:shd w:val="clear" w:color="auto" w:fill="auto"/>
            <w:noWrap/>
            <w:vAlign w:val="bottom"/>
            <w:hideMark/>
          </w:tcPr>
          <w:p w14:paraId="72E82E0B"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c>
          <w:tcPr>
            <w:tcW w:w="2280" w:type="dxa"/>
            <w:tcBorders>
              <w:top w:val="nil"/>
              <w:left w:val="nil"/>
              <w:bottom w:val="nil"/>
              <w:right w:val="nil"/>
            </w:tcBorders>
            <w:shd w:val="clear" w:color="auto" w:fill="auto"/>
            <w:noWrap/>
            <w:vAlign w:val="bottom"/>
            <w:hideMark/>
          </w:tcPr>
          <w:p w14:paraId="503B3F47"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14:paraId="0BF75433"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c>
          <w:tcPr>
            <w:tcW w:w="1620" w:type="dxa"/>
            <w:tcBorders>
              <w:top w:val="nil"/>
              <w:left w:val="nil"/>
              <w:bottom w:val="nil"/>
              <w:right w:val="nil"/>
            </w:tcBorders>
            <w:shd w:val="clear" w:color="auto" w:fill="auto"/>
            <w:noWrap/>
            <w:vAlign w:val="bottom"/>
            <w:hideMark/>
          </w:tcPr>
          <w:p w14:paraId="2A65CDFE"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c>
          <w:tcPr>
            <w:tcW w:w="1380" w:type="dxa"/>
            <w:tcBorders>
              <w:top w:val="nil"/>
              <w:left w:val="nil"/>
              <w:bottom w:val="nil"/>
              <w:right w:val="nil"/>
            </w:tcBorders>
            <w:shd w:val="clear" w:color="auto" w:fill="auto"/>
            <w:noWrap/>
            <w:vAlign w:val="bottom"/>
            <w:hideMark/>
          </w:tcPr>
          <w:p w14:paraId="1E9C5C39"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r>
      <w:tr w:rsidR="007374C2" w:rsidRPr="007374C2" w14:paraId="206A3641" w14:textId="77777777" w:rsidTr="007374C2">
        <w:trPr>
          <w:trHeight w:val="300"/>
        </w:trPr>
        <w:tc>
          <w:tcPr>
            <w:tcW w:w="3360" w:type="dxa"/>
            <w:gridSpan w:val="2"/>
            <w:tcBorders>
              <w:top w:val="nil"/>
              <w:left w:val="nil"/>
              <w:bottom w:val="nil"/>
              <w:right w:val="nil"/>
            </w:tcBorders>
            <w:shd w:val="clear" w:color="auto" w:fill="auto"/>
            <w:noWrap/>
            <w:hideMark/>
          </w:tcPr>
          <w:p w14:paraId="361FB9B4" w14:textId="77777777" w:rsidR="007374C2" w:rsidRPr="007374C2" w:rsidRDefault="007374C2" w:rsidP="007374C2">
            <w:pPr>
              <w:spacing w:after="0" w:line="240" w:lineRule="auto"/>
              <w:rPr>
                <w:rFonts w:ascii="Calibri" w:eastAsia="Times New Roman" w:hAnsi="Calibri" w:cs="Calibri"/>
                <w:b/>
                <w:bCs/>
                <w:lang w:eastAsia="fr-FR"/>
              </w:rPr>
            </w:pPr>
            <w:r w:rsidRPr="007374C2">
              <w:rPr>
                <w:rFonts w:ascii="Calibri" w:eastAsia="Times New Roman" w:hAnsi="Calibri" w:cs="Calibri"/>
                <w:b/>
                <w:bCs/>
                <w:lang w:eastAsia="fr-FR"/>
              </w:rPr>
              <w:t>Informations sur les dérivés</w:t>
            </w:r>
          </w:p>
        </w:tc>
        <w:tc>
          <w:tcPr>
            <w:tcW w:w="1920" w:type="dxa"/>
            <w:tcBorders>
              <w:top w:val="nil"/>
              <w:left w:val="nil"/>
              <w:bottom w:val="nil"/>
              <w:right w:val="nil"/>
            </w:tcBorders>
            <w:shd w:val="clear" w:color="auto" w:fill="auto"/>
            <w:noWrap/>
            <w:vAlign w:val="bottom"/>
            <w:hideMark/>
          </w:tcPr>
          <w:p w14:paraId="7A240095" w14:textId="77777777" w:rsidR="007374C2" w:rsidRPr="007374C2" w:rsidRDefault="007374C2" w:rsidP="007374C2">
            <w:pPr>
              <w:spacing w:after="0" w:line="240" w:lineRule="auto"/>
              <w:rPr>
                <w:rFonts w:ascii="Calibri" w:eastAsia="Times New Roman" w:hAnsi="Calibri" w:cs="Calibri"/>
                <w:b/>
                <w:bCs/>
                <w:lang w:eastAsia="fr-FR"/>
              </w:rPr>
            </w:pPr>
          </w:p>
        </w:tc>
        <w:tc>
          <w:tcPr>
            <w:tcW w:w="1900" w:type="dxa"/>
            <w:tcBorders>
              <w:top w:val="nil"/>
              <w:left w:val="nil"/>
              <w:bottom w:val="nil"/>
              <w:right w:val="nil"/>
            </w:tcBorders>
            <w:shd w:val="clear" w:color="auto" w:fill="auto"/>
            <w:noWrap/>
            <w:vAlign w:val="bottom"/>
            <w:hideMark/>
          </w:tcPr>
          <w:p w14:paraId="52375E4C"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c>
          <w:tcPr>
            <w:tcW w:w="2280" w:type="dxa"/>
            <w:tcBorders>
              <w:top w:val="nil"/>
              <w:left w:val="nil"/>
              <w:bottom w:val="nil"/>
              <w:right w:val="nil"/>
            </w:tcBorders>
            <w:shd w:val="clear" w:color="auto" w:fill="auto"/>
            <w:noWrap/>
            <w:vAlign w:val="bottom"/>
            <w:hideMark/>
          </w:tcPr>
          <w:p w14:paraId="3129615A"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14:paraId="1B888813"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c>
          <w:tcPr>
            <w:tcW w:w="1620" w:type="dxa"/>
            <w:tcBorders>
              <w:top w:val="nil"/>
              <w:left w:val="nil"/>
              <w:bottom w:val="nil"/>
              <w:right w:val="nil"/>
            </w:tcBorders>
            <w:shd w:val="clear" w:color="auto" w:fill="auto"/>
            <w:noWrap/>
            <w:vAlign w:val="bottom"/>
            <w:hideMark/>
          </w:tcPr>
          <w:p w14:paraId="5FD8F43A"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c>
          <w:tcPr>
            <w:tcW w:w="1380" w:type="dxa"/>
            <w:tcBorders>
              <w:top w:val="nil"/>
              <w:left w:val="nil"/>
              <w:bottom w:val="nil"/>
              <w:right w:val="nil"/>
            </w:tcBorders>
            <w:shd w:val="clear" w:color="auto" w:fill="auto"/>
            <w:noWrap/>
            <w:vAlign w:val="bottom"/>
            <w:hideMark/>
          </w:tcPr>
          <w:p w14:paraId="211E3F2C"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r>
      <w:tr w:rsidR="007374C2" w:rsidRPr="007374C2" w14:paraId="3C6A25BC" w14:textId="77777777" w:rsidTr="007374C2">
        <w:trPr>
          <w:trHeight w:val="300"/>
        </w:trPr>
        <w:tc>
          <w:tcPr>
            <w:tcW w:w="1660" w:type="dxa"/>
            <w:tcBorders>
              <w:top w:val="nil"/>
              <w:left w:val="nil"/>
              <w:bottom w:val="nil"/>
              <w:right w:val="nil"/>
            </w:tcBorders>
            <w:shd w:val="clear" w:color="auto" w:fill="auto"/>
            <w:noWrap/>
            <w:vAlign w:val="bottom"/>
            <w:hideMark/>
          </w:tcPr>
          <w:p w14:paraId="25B02917"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c>
          <w:tcPr>
            <w:tcW w:w="1700" w:type="dxa"/>
            <w:tcBorders>
              <w:top w:val="nil"/>
              <w:left w:val="nil"/>
              <w:bottom w:val="nil"/>
              <w:right w:val="nil"/>
            </w:tcBorders>
            <w:shd w:val="clear" w:color="auto" w:fill="auto"/>
            <w:noWrap/>
            <w:vAlign w:val="bottom"/>
            <w:hideMark/>
          </w:tcPr>
          <w:p w14:paraId="72252A26"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c>
          <w:tcPr>
            <w:tcW w:w="1920" w:type="dxa"/>
            <w:tcBorders>
              <w:top w:val="nil"/>
              <w:left w:val="nil"/>
              <w:bottom w:val="nil"/>
              <w:right w:val="nil"/>
            </w:tcBorders>
            <w:shd w:val="clear" w:color="auto" w:fill="auto"/>
            <w:noWrap/>
            <w:vAlign w:val="bottom"/>
            <w:hideMark/>
          </w:tcPr>
          <w:p w14:paraId="16CEE8FF"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c>
          <w:tcPr>
            <w:tcW w:w="1900" w:type="dxa"/>
            <w:tcBorders>
              <w:top w:val="nil"/>
              <w:left w:val="nil"/>
              <w:bottom w:val="nil"/>
              <w:right w:val="nil"/>
            </w:tcBorders>
            <w:shd w:val="clear" w:color="auto" w:fill="auto"/>
            <w:noWrap/>
            <w:vAlign w:val="bottom"/>
            <w:hideMark/>
          </w:tcPr>
          <w:p w14:paraId="1ACD3569"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c>
          <w:tcPr>
            <w:tcW w:w="2280" w:type="dxa"/>
            <w:tcBorders>
              <w:top w:val="nil"/>
              <w:left w:val="nil"/>
              <w:bottom w:val="nil"/>
              <w:right w:val="nil"/>
            </w:tcBorders>
            <w:shd w:val="clear" w:color="auto" w:fill="auto"/>
            <w:noWrap/>
            <w:vAlign w:val="bottom"/>
            <w:hideMark/>
          </w:tcPr>
          <w:p w14:paraId="4D86CE84"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14:paraId="47AD81D5"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c>
          <w:tcPr>
            <w:tcW w:w="1620" w:type="dxa"/>
            <w:tcBorders>
              <w:top w:val="nil"/>
              <w:left w:val="nil"/>
              <w:bottom w:val="nil"/>
              <w:right w:val="nil"/>
            </w:tcBorders>
            <w:shd w:val="clear" w:color="auto" w:fill="auto"/>
            <w:noWrap/>
            <w:vAlign w:val="bottom"/>
            <w:hideMark/>
          </w:tcPr>
          <w:p w14:paraId="665AA716"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c>
          <w:tcPr>
            <w:tcW w:w="1380" w:type="dxa"/>
            <w:tcBorders>
              <w:top w:val="nil"/>
              <w:left w:val="nil"/>
              <w:bottom w:val="nil"/>
              <w:right w:val="nil"/>
            </w:tcBorders>
            <w:shd w:val="clear" w:color="auto" w:fill="auto"/>
            <w:noWrap/>
            <w:vAlign w:val="bottom"/>
            <w:hideMark/>
          </w:tcPr>
          <w:p w14:paraId="3EC8E79C" w14:textId="77777777" w:rsidR="007374C2" w:rsidRPr="007374C2" w:rsidRDefault="007374C2" w:rsidP="007374C2">
            <w:pPr>
              <w:spacing w:after="0" w:line="240" w:lineRule="auto"/>
              <w:rPr>
                <w:rFonts w:ascii="Times New Roman" w:eastAsia="Times New Roman" w:hAnsi="Times New Roman" w:cs="Times New Roman"/>
                <w:sz w:val="20"/>
                <w:szCs w:val="20"/>
                <w:lang w:eastAsia="fr-FR"/>
              </w:rPr>
            </w:pPr>
          </w:p>
        </w:tc>
      </w:tr>
      <w:tr w:rsidR="007374C2" w:rsidRPr="007374C2" w14:paraId="58ABB661" w14:textId="77777777" w:rsidTr="007374C2">
        <w:trPr>
          <w:trHeight w:val="900"/>
        </w:trPr>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3683E0"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Code d’identification du dérivé</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6DF566"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Type de code d’identification du dérivé</w:t>
            </w:r>
          </w:p>
        </w:tc>
        <w:tc>
          <w:tcPr>
            <w:tcW w:w="1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6C3FC5"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Nom de la contrepartie</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D729D3"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Code d’identification de la contrepartie</w:t>
            </w:r>
          </w:p>
        </w:tc>
        <w:tc>
          <w:tcPr>
            <w:tcW w:w="22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6C8BDF"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Type de code d’identification de la contrepartie</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3ECC8C"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Notation externe</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39C4DE"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OEEC désigné</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42405C"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Groupe de la contrepartie</w:t>
            </w:r>
          </w:p>
        </w:tc>
      </w:tr>
      <w:tr w:rsidR="007374C2" w:rsidRPr="007374C2" w14:paraId="4623B390" w14:textId="77777777" w:rsidTr="007374C2">
        <w:trPr>
          <w:trHeight w:val="30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4E80807A"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C0010</w:t>
            </w:r>
          </w:p>
        </w:tc>
        <w:tc>
          <w:tcPr>
            <w:tcW w:w="1700" w:type="dxa"/>
            <w:tcBorders>
              <w:top w:val="nil"/>
              <w:left w:val="single" w:sz="4" w:space="0" w:color="auto"/>
              <w:bottom w:val="single" w:sz="4" w:space="0" w:color="auto"/>
              <w:right w:val="single" w:sz="4" w:space="0" w:color="auto"/>
            </w:tcBorders>
            <w:shd w:val="clear" w:color="auto" w:fill="auto"/>
            <w:vAlign w:val="center"/>
            <w:hideMark/>
          </w:tcPr>
          <w:p w14:paraId="32CDAEF9"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C0020</w:t>
            </w:r>
          </w:p>
        </w:tc>
        <w:tc>
          <w:tcPr>
            <w:tcW w:w="1920" w:type="dxa"/>
            <w:tcBorders>
              <w:top w:val="nil"/>
              <w:left w:val="single" w:sz="4" w:space="0" w:color="auto"/>
              <w:bottom w:val="single" w:sz="4" w:space="0" w:color="auto"/>
              <w:right w:val="single" w:sz="4" w:space="0" w:color="auto"/>
            </w:tcBorders>
            <w:shd w:val="clear" w:color="auto" w:fill="auto"/>
            <w:vAlign w:val="center"/>
            <w:hideMark/>
          </w:tcPr>
          <w:p w14:paraId="17BE5A74"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C0260</w:t>
            </w:r>
          </w:p>
        </w:tc>
        <w:tc>
          <w:tcPr>
            <w:tcW w:w="1900" w:type="dxa"/>
            <w:tcBorders>
              <w:top w:val="nil"/>
              <w:left w:val="single" w:sz="4" w:space="0" w:color="auto"/>
              <w:bottom w:val="single" w:sz="4" w:space="0" w:color="auto"/>
              <w:right w:val="single" w:sz="4" w:space="0" w:color="auto"/>
            </w:tcBorders>
            <w:shd w:val="clear" w:color="auto" w:fill="auto"/>
            <w:vAlign w:val="center"/>
            <w:hideMark/>
          </w:tcPr>
          <w:p w14:paraId="7CA0DF5E"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C0270</w:t>
            </w:r>
          </w:p>
        </w:tc>
        <w:tc>
          <w:tcPr>
            <w:tcW w:w="2280" w:type="dxa"/>
            <w:tcBorders>
              <w:top w:val="nil"/>
              <w:left w:val="single" w:sz="4" w:space="0" w:color="auto"/>
              <w:bottom w:val="single" w:sz="4" w:space="0" w:color="auto"/>
              <w:right w:val="single" w:sz="4" w:space="0" w:color="auto"/>
            </w:tcBorders>
            <w:shd w:val="clear" w:color="auto" w:fill="auto"/>
            <w:vAlign w:val="center"/>
            <w:hideMark/>
          </w:tcPr>
          <w:p w14:paraId="42A60113"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C0280</w:t>
            </w:r>
          </w:p>
        </w:tc>
        <w:tc>
          <w:tcPr>
            <w:tcW w:w="1200" w:type="dxa"/>
            <w:tcBorders>
              <w:top w:val="nil"/>
              <w:left w:val="single" w:sz="4" w:space="0" w:color="auto"/>
              <w:bottom w:val="single" w:sz="4" w:space="0" w:color="auto"/>
              <w:right w:val="single" w:sz="4" w:space="0" w:color="auto"/>
            </w:tcBorders>
            <w:shd w:val="clear" w:color="auto" w:fill="auto"/>
            <w:vAlign w:val="center"/>
            <w:hideMark/>
          </w:tcPr>
          <w:p w14:paraId="75840D57"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C0290</w:t>
            </w:r>
          </w:p>
        </w:tc>
        <w:tc>
          <w:tcPr>
            <w:tcW w:w="1620" w:type="dxa"/>
            <w:tcBorders>
              <w:top w:val="nil"/>
              <w:left w:val="single" w:sz="4" w:space="0" w:color="auto"/>
              <w:bottom w:val="single" w:sz="4" w:space="0" w:color="auto"/>
              <w:right w:val="single" w:sz="4" w:space="0" w:color="auto"/>
            </w:tcBorders>
            <w:shd w:val="clear" w:color="auto" w:fill="auto"/>
            <w:vAlign w:val="center"/>
            <w:hideMark/>
          </w:tcPr>
          <w:p w14:paraId="6600C1D5"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C0300</w:t>
            </w:r>
          </w:p>
        </w:tc>
        <w:tc>
          <w:tcPr>
            <w:tcW w:w="1380" w:type="dxa"/>
            <w:tcBorders>
              <w:top w:val="nil"/>
              <w:left w:val="single" w:sz="4" w:space="0" w:color="auto"/>
              <w:bottom w:val="single" w:sz="4" w:space="0" w:color="auto"/>
              <w:right w:val="single" w:sz="4" w:space="0" w:color="auto"/>
            </w:tcBorders>
            <w:shd w:val="clear" w:color="auto" w:fill="auto"/>
            <w:vAlign w:val="center"/>
            <w:hideMark/>
          </w:tcPr>
          <w:p w14:paraId="4618F2B4"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C0330</w:t>
            </w:r>
          </w:p>
        </w:tc>
      </w:tr>
      <w:tr w:rsidR="007374C2" w:rsidRPr="007374C2" w14:paraId="44F3B928" w14:textId="77777777" w:rsidTr="007374C2">
        <w:trPr>
          <w:trHeight w:val="30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62AC82C9"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 </w:t>
            </w:r>
          </w:p>
        </w:tc>
        <w:tc>
          <w:tcPr>
            <w:tcW w:w="1700" w:type="dxa"/>
            <w:tcBorders>
              <w:top w:val="nil"/>
              <w:left w:val="single" w:sz="4" w:space="0" w:color="auto"/>
              <w:bottom w:val="single" w:sz="4" w:space="0" w:color="auto"/>
              <w:right w:val="single" w:sz="4" w:space="0" w:color="auto"/>
            </w:tcBorders>
            <w:shd w:val="clear" w:color="auto" w:fill="auto"/>
            <w:vAlign w:val="center"/>
            <w:hideMark/>
          </w:tcPr>
          <w:p w14:paraId="0F22534E"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 </w:t>
            </w:r>
          </w:p>
        </w:tc>
        <w:tc>
          <w:tcPr>
            <w:tcW w:w="1920" w:type="dxa"/>
            <w:tcBorders>
              <w:top w:val="nil"/>
              <w:left w:val="single" w:sz="4" w:space="0" w:color="auto"/>
              <w:bottom w:val="single" w:sz="4" w:space="0" w:color="auto"/>
              <w:right w:val="single" w:sz="4" w:space="0" w:color="auto"/>
            </w:tcBorders>
            <w:shd w:val="clear" w:color="auto" w:fill="auto"/>
            <w:vAlign w:val="center"/>
            <w:hideMark/>
          </w:tcPr>
          <w:p w14:paraId="32E29B99"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 </w:t>
            </w:r>
          </w:p>
        </w:tc>
        <w:tc>
          <w:tcPr>
            <w:tcW w:w="1900" w:type="dxa"/>
            <w:tcBorders>
              <w:top w:val="nil"/>
              <w:left w:val="single" w:sz="4" w:space="0" w:color="auto"/>
              <w:bottom w:val="single" w:sz="4" w:space="0" w:color="auto"/>
              <w:right w:val="single" w:sz="4" w:space="0" w:color="auto"/>
            </w:tcBorders>
            <w:shd w:val="clear" w:color="auto" w:fill="auto"/>
            <w:vAlign w:val="center"/>
            <w:hideMark/>
          </w:tcPr>
          <w:p w14:paraId="3A780244"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 </w:t>
            </w:r>
          </w:p>
        </w:tc>
        <w:tc>
          <w:tcPr>
            <w:tcW w:w="2280" w:type="dxa"/>
            <w:tcBorders>
              <w:top w:val="nil"/>
              <w:left w:val="single" w:sz="4" w:space="0" w:color="auto"/>
              <w:bottom w:val="single" w:sz="4" w:space="0" w:color="auto"/>
              <w:right w:val="single" w:sz="4" w:space="0" w:color="auto"/>
            </w:tcBorders>
            <w:shd w:val="clear" w:color="auto" w:fill="auto"/>
            <w:vAlign w:val="center"/>
            <w:hideMark/>
          </w:tcPr>
          <w:p w14:paraId="28FBC1B2"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 </w:t>
            </w:r>
          </w:p>
        </w:tc>
        <w:tc>
          <w:tcPr>
            <w:tcW w:w="1200" w:type="dxa"/>
            <w:tcBorders>
              <w:top w:val="nil"/>
              <w:left w:val="single" w:sz="4" w:space="0" w:color="auto"/>
              <w:bottom w:val="single" w:sz="4" w:space="0" w:color="auto"/>
              <w:right w:val="single" w:sz="4" w:space="0" w:color="auto"/>
            </w:tcBorders>
            <w:shd w:val="clear" w:color="auto" w:fill="auto"/>
            <w:vAlign w:val="center"/>
            <w:hideMark/>
          </w:tcPr>
          <w:p w14:paraId="5D429F15"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 </w:t>
            </w:r>
          </w:p>
        </w:tc>
        <w:tc>
          <w:tcPr>
            <w:tcW w:w="1620" w:type="dxa"/>
            <w:tcBorders>
              <w:top w:val="nil"/>
              <w:left w:val="single" w:sz="4" w:space="0" w:color="auto"/>
              <w:bottom w:val="single" w:sz="4" w:space="0" w:color="auto"/>
              <w:right w:val="single" w:sz="4" w:space="0" w:color="auto"/>
            </w:tcBorders>
            <w:shd w:val="clear" w:color="auto" w:fill="auto"/>
            <w:vAlign w:val="center"/>
            <w:hideMark/>
          </w:tcPr>
          <w:p w14:paraId="5FDDC52A"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 </w:t>
            </w:r>
          </w:p>
        </w:tc>
        <w:tc>
          <w:tcPr>
            <w:tcW w:w="1380" w:type="dxa"/>
            <w:tcBorders>
              <w:top w:val="nil"/>
              <w:left w:val="single" w:sz="4" w:space="0" w:color="auto"/>
              <w:bottom w:val="single" w:sz="4" w:space="0" w:color="auto"/>
              <w:right w:val="single" w:sz="4" w:space="0" w:color="auto"/>
            </w:tcBorders>
            <w:shd w:val="clear" w:color="auto" w:fill="auto"/>
            <w:vAlign w:val="center"/>
            <w:hideMark/>
          </w:tcPr>
          <w:p w14:paraId="59E1C29C"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 </w:t>
            </w:r>
          </w:p>
        </w:tc>
      </w:tr>
    </w:tbl>
    <w:p w14:paraId="346088D2" w14:textId="2129411E" w:rsidR="007374C2" w:rsidRDefault="007374C2" w:rsidP="00535385">
      <w:pPr>
        <w:spacing w:after="0"/>
      </w:pPr>
    </w:p>
    <w:tbl>
      <w:tblPr>
        <w:tblW w:w="13745" w:type="dxa"/>
        <w:tblCellMar>
          <w:left w:w="70" w:type="dxa"/>
          <w:right w:w="70" w:type="dxa"/>
        </w:tblCellMar>
        <w:tblLook w:val="04A0" w:firstRow="1" w:lastRow="0" w:firstColumn="1" w:lastColumn="0" w:noHBand="0" w:noVBand="1"/>
      </w:tblPr>
      <w:tblGrid>
        <w:gridCol w:w="2145"/>
        <w:gridCol w:w="2490"/>
        <w:gridCol w:w="1126"/>
        <w:gridCol w:w="1324"/>
        <w:gridCol w:w="929"/>
        <w:gridCol w:w="1549"/>
        <w:gridCol w:w="1914"/>
        <w:gridCol w:w="2268"/>
      </w:tblGrid>
      <w:tr w:rsidR="007374C2" w:rsidRPr="007374C2" w14:paraId="64BA32D4" w14:textId="77777777" w:rsidTr="0085196F">
        <w:trPr>
          <w:trHeight w:val="900"/>
        </w:trPr>
        <w:tc>
          <w:tcPr>
            <w:tcW w:w="21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7011DF"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Code d’identification du groupe de la contrepartie</w:t>
            </w:r>
          </w:p>
        </w:tc>
        <w:tc>
          <w:tcPr>
            <w:tcW w:w="24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6A6111"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Type de code d’identification du groupe de la contrepartie</w:t>
            </w:r>
          </w:p>
        </w:tc>
        <w:tc>
          <w:tcPr>
            <w:tcW w:w="11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1AA6D5"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Nom du contrat</w:t>
            </w: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7F3B88"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Monnaie</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1B9783"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CIC</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9064E3"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Valeur de déclenchement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7B52AC"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Déclencheur du dénouement du contrat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1F7437"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Monnaie fournie au titre du contrat d’échange</w:t>
            </w:r>
          </w:p>
        </w:tc>
      </w:tr>
      <w:tr w:rsidR="007374C2" w:rsidRPr="007374C2" w14:paraId="4156CB0E" w14:textId="77777777" w:rsidTr="0085196F">
        <w:trPr>
          <w:trHeight w:val="300"/>
        </w:trPr>
        <w:tc>
          <w:tcPr>
            <w:tcW w:w="2145" w:type="dxa"/>
            <w:tcBorders>
              <w:top w:val="nil"/>
              <w:left w:val="single" w:sz="4" w:space="0" w:color="auto"/>
              <w:bottom w:val="single" w:sz="4" w:space="0" w:color="auto"/>
              <w:right w:val="single" w:sz="4" w:space="0" w:color="auto"/>
            </w:tcBorders>
            <w:shd w:val="clear" w:color="auto" w:fill="auto"/>
            <w:vAlign w:val="center"/>
            <w:hideMark/>
          </w:tcPr>
          <w:p w14:paraId="563CC87B"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C0340</w:t>
            </w:r>
          </w:p>
        </w:tc>
        <w:tc>
          <w:tcPr>
            <w:tcW w:w="2490" w:type="dxa"/>
            <w:tcBorders>
              <w:top w:val="nil"/>
              <w:left w:val="single" w:sz="4" w:space="0" w:color="auto"/>
              <w:bottom w:val="single" w:sz="4" w:space="0" w:color="auto"/>
              <w:right w:val="single" w:sz="4" w:space="0" w:color="auto"/>
            </w:tcBorders>
            <w:shd w:val="clear" w:color="auto" w:fill="auto"/>
            <w:vAlign w:val="center"/>
            <w:hideMark/>
          </w:tcPr>
          <w:p w14:paraId="74E3EBE0"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C0350</w:t>
            </w:r>
          </w:p>
        </w:tc>
        <w:tc>
          <w:tcPr>
            <w:tcW w:w="1126" w:type="dxa"/>
            <w:tcBorders>
              <w:top w:val="nil"/>
              <w:left w:val="single" w:sz="4" w:space="0" w:color="auto"/>
              <w:bottom w:val="single" w:sz="4" w:space="0" w:color="auto"/>
              <w:right w:val="single" w:sz="4" w:space="0" w:color="auto"/>
            </w:tcBorders>
            <w:shd w:val="clear" w:color="auto" w:fill="auto"/>
            <w:vAlign w:val="center"/>
            <w:hideMark/>
          </w:tcPr>
          <w:p w14:paraId="66DCDE5E"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C0360</w:t>
            </w:r>
          </w:p>
        </w:tc>
        <w:tc>
          <w:tcPr>
            <w:tcW w:w="1324" w:type="dxa"/>
            <w:tcBorders>
              <w:top w:val="nil"/>
              <w:left w:val="single" w:sz="4" w:space="0" w:color="auto"/>
              <w:bottom w:val="single" w:sz="4" w:space="0" w:color="auto"/>
              <w:right w:val="single" w:sz="4" w:space="0" w:color="auto"/>
            </w:tcBorders>
            <w:shd w:val="clear" w:color="auto" w:fill="auto"/>
            <w:vAlign w:val="center"/>
            <w:hideMark/>
          </w:tcPr>
          <w:p w14:paraId="424BAEDD"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C0370</w:t>
            </w:r>
          </w:p>
        </w:tc>
        <w:tc>
          <w:tcPr>
            <w:tcW w:w="929" w:type="dxa"/>
            <w:tcBorders>
              <w:top w:val="nil"/>
              <w:left w:val="single" w:sz="4" w:space="0" w:color="auto"/>
              <w:bottom w:val="single" w:sz="4" w:space="0" w:color="auto"/>
              <w:right w:val="single" w:sz="4" w:space="0" w:color="auto"/>
            </w:tcBorders>
            <w:shd w:val="clear" w:color="auto" w:fill="auto"/>
            <w:vAlign w:val="center"/>
            <w:hideMark/>
          </w:tcPr>
          <w:p w14:paraId="6C8031A5"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C0380</w:t>
            </w:r>
          </w:p>
        </w:tc>
        <w:tc>
          <w:tcPr>
            <w:tcW w:w="1549" w:type="dxa"/>
            <w:tcBorders>
              <w:top w:val="nil"/>
              <w:left w:val="single" w:sz="4" w:space="0" w:color="auto"/>
              <w:bottom w:val="single" w:sz="4" w:space="0" w:color="auto"/>
              <w:right w:val="single" w:sz="4" w:space="0" w:color="auto"/>
            </w:tcBorders>
            <w:shd w:val="clear" w:color="auto" w:fill="auto"/>
            <w:vAlign w:val="center"/>
            <w:hideMark/>
          </w:tcPr>
          <w:p w14:paraId="0CFD6D39"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C0390</w:t>
            </w:r>
          </w:p>
        </w:tc>
        <w:tc>
          <w:tcPr>
            <w:tcW w:w="1914" w:type="dxa"/>
            <w:tcBorders>
              <w:top w:val="nil"/>
              <w:left w:val="single" w:sz="4" w:space="0" w:color="auto"/>
              <w:bottom w:val="single" w:sz="4" w:space="0" w:color="auto"/>
              <w:right w:val="single" w:sz="4" w:space="0" w:color="auto"/>
            </w:tcBorders>
            <w:shd w:val="clear" w:color="auto" w:fill="auto"/>
            <w:vAlign w:val="center"/>
            <w:hideMark/>
          </w:tcPr>
          <w:p w14:paraId="7153D4EF"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C0400</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381CBBA0"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C0410</w:t>
            </w:r>
          </w:p>
        </w:tc>
      </w:tr>
      <w:tr w:rsidR="007374C2" w:rsidRPr="007374C2" w14:paraId="52D572A0" w14:textId="77777777" w:rsidTr="0085196F">
        <w:trPr>
          <w:trHeight w:val="300"/>
        </w:trPr>
        <w:tc>
          <w:tcPr>
            <w:tcW w:w="2145" w:type="dxa"/>
            <w:tcBorders>
              <w:top w:val="nil"/>
              <w:left w:val="single" w:sz="4" w:space="0" w:color="auto"/>
              <w:bottom w:val="single" w:sz="4" w:space="0" w:color="auto"/>
              <w:right w:val="single" w:sz="4" w:space="0" w:color="auto"/>
            </w:tcBorders>
            <w:shd w:val="clear" w:color="auto" w:fill="auto"/>
            <w:vAlign w:val="center"/>
            <w:hideMark/>
          </w:tcPr>
          <w:p w14:paraId="39B8C170"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 </w:t>
            </w:r>
          </w:p>
        </w:tc>
        <w:tc>
          <w:tcPr>
            <w:tcW w:w="2490" w:type="dxa"/>
            <w:tcBorders>
              <w:top w:val="nil"/>
              <w:left w:val="single" w:sz="4" w:space="0" w:color="auto"/>
              <w:bottom w:val="single" w:sz="4" w:space="0" w:color="auto"/>
              <w:right w:val="single" w:sz="4" w:space="0" w:color="auto"/>
            </w:tcBorders>
            <w:shd w:val="clear" w:color="auto" w:fill="auto"/>
            <w:vAlign w:val="center"/>
            <w:hideMark/>
          </w:tcPr>
          <w:p w14:paraId="7FE1A7FF"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 </w:t>
            </w:r>
          </w:p>
        </w:tc>
        <w:tc>
          <w:tcPr>
            <w:tcW w:w="1126" w:type="dxa"/>
            <w:tcBorders>
              <w:top w:val="nil"/>
              <w:left w:val="single" w:sz="4" w:space="0" w:color="auto"/>
              <w:bottom w:val="single" w:sz="4" w:space="0" w:color="auto"/>
              <w:right w:val="single" w:sz="4" w:space="0" w:color="auto"/>
            </w:tcBorders>
            <w:shd w:val="clear" w:color="auto" w:fill="auto"/>
            <w:vAlign w:val="center"/>
            <w:hideMark/>
          </w:tcPr>
          <w:p w14:paraId="0EF6D854"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 </w:t>
            </w:r>
          </w:p>
        </w:tc>
        <w:tc>
          <w:tcPr>
            <w:tcW w:w="1324" w:type="dxa"/>
            <w:tcBorders>
              <w:top w:val="nil"/>
              <w:left w:val="single" w:sz="4" w:space="0" w:color="auto"/>
              <w:bottom w:val="single" w:sz="4" w:space="0" w:color="auto"/>
              <w:right w:val="single" w:sz="4" w:space="0" w:color="auto"/>
            </w:tcBorders>
            <w:shd w:val="clear" w:color="auto" w:fill="auto"/>
            <w:vAlign w:val="center"/>
            <w:hideMark/>
          </w:tcPr>
          <w:p w14:paraId="2ED5B734"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 </w:t>
            </w:r>
          </w:p>
        </w:tc>
        <w:tc>
          <w:tcPr>
            <w:tcW w:w="929" w:type="dxa"/>
            <w:tcBorders>
              <w:top w:val="nil"/>
              <w:left w:val="single" w:sz="4" w:space="0" w:color="auto"/>
              <w:bottom w:val="single" w:sz="4" w:space="0" w:color="auto"/>
              <w:right w:val="single" w:sz="4" w:space="0" w:color="auto"/>
            </w:tcBorders>
            <w:shd w:val="clear" w:color="auto" w:fill="auto"/>
            <w:vAlign w:val="center"/>
            <w:hideMark/>
          </w:tcPr>
          <w:p w14:paraId="57E21191"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 </w:t>
            </w:r>
          </w:p>
        </w:tc>
        <w:tc>
          <w:tcPr>
            <w:tcW w:w="1549" w:type="dxa"/>
            <w:tcBorders>
              <w:top w:val="nil"/>
              <w:left w:val="single" w:sz="4" w:space="0" w:color="auto"/>
              <w:bottom w:val="single" w:sz="4" w:space="0" w:color="auto"/>
              <w:right w:val="single" w:sz="4" w:space="0" w:color="auto"/>
            </w:tcBorders>
            <w:shd w:val="clear" w:color="auto" w:fill="auto"/>
            <w:vAlign w:val="center"/>
            <w:hideMark/>
          </w:tcPr>
          <w:p w14:paraId="16C8D30D"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 </w:t>
            </w:r>
          </w:p>
        </w:tc>
        <w:tc>
          <w:tcPr>
            <w:tcW w:w="1914" w:type="dxa"/>
            <w:tcBorders>
              <w:top w:val="nil"/>
              <w:left w:val="single" w:sz="4" w:space="0" w:color="auto"/>
              <w:bottom w:val="single" w:sz="4" w:space="0" w:color="auto"/>
              <w:right w:val="single" w:sz="4" w:space="0" w:color="auto"/>
            </w:tcBorders>
            <w:shd w:val="clear" w:color="auto" w:fill="auto"/>
            <w:vAlign w:val="center"/>
            <w:hideMark/>
          </w:tcPr>
          <w:p w14:paraId="3155585D"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 </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322BBBEE"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 </w:t>
            </w:r>
          </w:p>
        </w:tc>
      </w:tr>
    </w:tbl>
    <w:p w14:paraId="46B3D3B8" w14:textId="05653DF9" w:rsidR="007374C2" w:rsidRDefault="007374C2" w:rsidP="00535385">
      <w:pPr>
        <w:spacing w:after="0"/>
      </w:pPr>
    </w:p>
    <w:tbl>
      <w:tblPr>
        <w:tblW w:w="4220" w:type="dxa"/>
        <w:tblCellMar>
          <w:left w:w="70" w:type="dxa"/>
          <w:right w:w="70" w:type="dxa"/>
        </w:tblCellMar>
        <w:tblLook w:val="04A0" w:firstRow="1" w:lastRow="0" w:firstColumn="1" w:lastColumn="0" w:noHBand="0" w:noVBand="1"/>
      </w:tblPr>
      <w:tblGrid>
        <w:gridCol w:w="1820"/>
        <w:gridCol w:w="2400"/>
      </w:tblGrid>
      <w:tr w:rsidR="007374C2" w:rsidRPr="007374C2" w14:paraId="20C794E4" w14:textId="77777777" w:rsidTr="007374C2">
        <w:trPr>
          <w:trHeight w:val="900"/>
        </w:trPr>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E3B115"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Monnaie reçue au titre du contrat d’échange</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0D6AD0"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Date d’échéance</w:t>
            </w:r>
          </w:p>
        </w:tc>
      </w:tr>
      <w:tr w:rsidR="007374C2" w:rsidRPr="007374C2" w14:paraId="1B68BD1D" w14:textId="77777777" w:rsidTr="007374C2">
        <w:trPr>
          <w:trHeight w:val="300"/>
        </w:trPr>
        <w:tc>
          <w:tcPr>
            <w:tcW w:w="1820" w:type="dxa"/>
            <w:tcBorders>
              <w:top w:val="nil"/>
              <w:left w:val="single" w:sz="4" w:space="0" w:color="auto"/>
              <w:bottom w:val="single" w:sz="4" w:space="0" w:color="auto"/>
              <w:right w:val="single" w:sz="4" w:space="0" w:color="auto"/>
            </w:tcBorders>
            <w:shd w:val="clear" w:color="auto" w:fill="auto"/>
            <w:vAlign w:val="center"/>
            <w:hideMark/>
          </w:tcPr>
          <w:p w14:paraId="23A7B4D0"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C0420</w:t>
            </w:r>
          </w:p>
        </w:tc>
        <w:tc>
          <w:tcPr>
            <w:tcW w:w="2400" w:type="dxa"/>
            <w:tcBorders>
              <w:top w:val="nil"/>
              <w:left w:val="single" w:sz="4" w:space="0" w:color="auto"/>
              <w:bottom w:val="single" w:sz="4" w:space="0" w:color="auto"/>
              <w:right w:val="single" w:sz="4" w:space="0" w:color="auto"/>
            </w:tcBorders>
            <w:shd w:val="clear" w:color="auto" w:fill="auto"/>
            <w:vAlign w:val="center"/>
            <w:hideMark/>
          </w:tcPr>
          <w:p w14:paraId="73D05C10"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C0430</w:t>
            </w:r>
          </w:p>
        </w:tc>
      </w:tr>
      <w:tr w:rsidR="007374C2" w:rsidRPr="007374C2" w14:paraId="746D0D1B" w14:textId="77777777" w:rsidTr="007374C2">
        <w:trPr>
          <w:trHeight w:val="300"/>
        </w:trPr>
        <w:tc>
          <w:tcPr>
            <w:tcW w:w="1820" w:type="dxa"/>
            <w:tcBorders>
              <w:top w:val="nil"/>
              <w:left w:val="single" w:sz="4" w:space="0" w:color="auto"/>
              <w:bottom w:val="single" w:sz="4" w:space="0" w:color="auto"/>
              <w:right w:val="single" w:sz="4" w:space="0" w:color="auto"/>
            </w:tcBorders>
            <w:shd w:val="clear" w:color="auto" w:fill="auto"/>
            <w:vAlign w:val="center"/>
            <w:hideMark/>
          </w:tcPr>
          <w:p w14:paraId="1C2BB936"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 </w:t>
            </w:r>
          </w:p>
        </w:tc>
        <w:tc>
          <w:tcPr>
            <w:tcW w:w="2400" w:type="dxa"/>
            <w:tcBorders>
              <w:top w:val="nil"/>
              <w:left w:val="single" w:sz="4" w:space="0" w:color="auto"/>
              <w:bottom w:val="single" w:sz="4" w:space="0" w:color="auto"/>
              <w:right w:val="single" w:sz="4" w:space="0" w:color="auto"/>
            </w:tcBorders>
            <w:shd w:val="clear" w:color="auto" w:fill="auto"/>
            <w:vAlign w:val="center"/>
            <w:hideMark/>
          </w:tcPr>
          <w:p w14:paraId="546CFE85" w14:textId="77777777" w:rsidR="007374C2" w:rsidRPr="007374C2" w:rsidRDefault="007374C2" w:rsidP="007374C2">
            <w:pPr>
              <w:spacing w:after="0" w:line="240" w:lineRule="auto"/>
              <w:jc w:val="center"/>
              <w:rPr>
                <w:rFonts w:ascii="Calibri" w:eastAsia="Times New Roman" w:hAnsi="Calibri" w:cs="Calibri"/>
                <w:b/>
                <w:bCs/>
                <w:lang w:eastAsia="fr-FR"/>
              </w:rPr>
            </w:pPr>
            <w:r w:rsidRPr="007374C2">
              <w:rPr>
                <w:rFonts w:ascii="Calibri" w:eastAsia="Times New Roman" w:hAnsi="Calibri" w:cs="Calibri"/>
                <w:b/>
                <w:bCs/>
                <w:lang w:eastAsia="fr-FR"/>
              </w:rPr>
              <w:t> </w:t>
            </w:r>
          </w:p>
        </w:tc>
      </w:tr>
    </w:tbl>
    <w:p w14:paraId="18071D47" w14:textId="77777777" w:rsidR="007374C2" w:rsidRDefault="007374C2" w:rsidP="00535385">
      <w:pPr>
        <w:spacing w:after="0"/>
      </w:pPr>
    </w:p>
    <w:sectPr w:rsidR="007374C2" w:rsidSect="0085196F">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1F5932" w14:textId="77777777" w:rsidR="000753CE" w:rsidRDefault="000753CE" w:rsidP="00C44F2A">
      <w:pPr>
        <w:spacing w:after="0" w:line="240" w:lineRule="auto"/>
      </w:pPr>
      <w:r>
        <w:separator/>
      </w:r>
    </w:p>
  </w:endnote>
  <w:endnote w:type="continuationSeparator" w:id="0">
    <w:p w14:paraId="5CF5D203" w14:textId="77777777" w:rsidR="000753CE" w:rsidRDefault="000753CE" w:rsidP="00C44F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1170189"/>
      <w:docPartObj>
        <w:docPartGallery w:val="Page Numbers (Bottom of Page)"/>
        <w:docPartUnique/>
      </w:docPartObj>
    </w:sdtPr>
    <w:sdtEndPr/>
    <w:sdtContent>
      <w:p w14:paraId="118980EB" w14:textId="13E55494" w:rsidR="000753CE" w:rsidRDefault="000753CE">
        <w:pPr>
          <w:pStyle w:val="Pieddepage"/>
        </w:pPr>
        <w:r>
          <w:fldChar w:fldCharType="begin"/>
        </w:r>
        <w:r>
          <w:instrText>PAGE   \* MERGEFORMAT</w:instrText>
        </w:r>
        <w:r>
          <w:fldChar w:fldCharType="separate"/>
        </w:r>
        <w:r w:rsidR="0085196F">
          <w:rPr>
            <w:noProof/>
          </w:rPr>
          <w:t>2</w:t>
        </w:r>
        <w:r>
          <w:fldChar w:fldCharType="end"/>
        </w:r>
      </w:p>
    </w:sdtContent>
  </w:sdt>
  <w:p w14:paraId="63236C6B" w14:textId="77777777" w:rsidR="000753CE" w:rsidRDefault="000753C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5ECC45" w14:textId="77777777" w:rsidR="000753CE" w:rsidRDefault="000753CE" w:rsidP="00C44F2A">
      <w:pPr>
        <w:spacing w:after="0" w:line="240" w:lineRule="auto"/>
      </w:pPr>
      <w:r>
        <w:separator/>
      </w:r>
    </w:p>
  </w:footnote>
  <w:footnote w:type="continuationSeparator" w:id="0">
    <w:p w14:paraId="1E26E893" w14:textId="77777777" w:rsidR="000753CE" w:rsidRDefault="000753CE" w:rsidP="00C44F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15:restartNumberingAfterBreak="0">
    <w:nsid w:val="0DCB5FB3"/>
    <w:multiLevelType w:val="hybridMultilevel"/>
    <w:tmpl w:val="986CEBE0"/>
    <w:lvl w:ilvl="0" w:tplc="0926798E">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6C367BA"/>
    <w:multiLevelType w:val="hybridMultilevel"/>
    <w:tmpl w:val="367C938A"/>
    <w:lvl w:ilvl="0" w:tplc="522014C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3F2368"/>
    <w:multiLevelType w:val="hybridMultilevel"/>
    <w:tmpl w:val="25AC9F20"/>
    <w:lvl w:ilvl="0" w:tplc="03F2D5D0">
      <w:start w:val="1"/>
      <w:numFmt w:val="decimal"/>
      <w:lvlText w:val="%1."/>
      <w:lvlJc w:val="left"/>
      <w:pPr>
        <w:ind w:left="1800" w:hanging="360"/>
      </w:pPr>
      <w:rPr>
        <w:rFonts w:ascii="Times New Roman" w:eastAsia="Times New Roman" w:hAnsi="Times New Roman" w:cs="Times New Roman"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4" w15:restartNumberingAfterBreak="0">
    <w:nsid w:val="7BF77533"/>
    <w:multiLevelType w:val="hybridMultilevel"/>
    <w:tmpl w:val="B246A96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F2A"/>
    <w:rsid w:val="00000732"/>
    <w:rsid w:val="00001D6C"/>
    <w:rsid w:val="00020A30"/>
    <w:rsid w:val="000212E3"/>
    <w:rsid w:val="00050C2D"/>
    <w:rsid w:val="0005644C"/>
    <w:rsid w:val="000631A9"/>
    <w:rsid w:val="00066D83"/>
    <w:rsid w:val="000753CE"/>
    <w:rsid w:val="00076388"/>
    <w:rsid w:val="00080978"/>
    <w:rsid w:val="0008685D"/>
    <w:rsid w:val="000A01CB"/>
    <w:rsid w:val="000B60FD"/>
    <w:rsid w:val="000E479A"/>
    <w:rsid w:val="000F7F03"/>
    <w:rsid w:val="001135EC"/>
    <w:rsid w:val="001160C7"/>
    <w:rsid w:val="00124C4F"/>
    <w:rsid w:val="0013747A"/>
    <w:rsid w:val="00144C3C"/>
    <w:rsid w:val="00145E71"/>
    <w:rsid w:val="00150D80"/>
    <w:rsid w:val="0015156E"/>
    <w:rsid w:val="00152B2E"/>
    <w:rsid w:val="001548FD"/>
    <w:rsid w:val="0019519A"/>
    <w:rsid w:val="001A2327"/>
    <w:rsid w:val="001B2DDA"/>
    <w:rsid w:val="001D1125"/>
    <w:rsid w:val="002131D8"/>
    <w:rsid w:val="00215A42"/>
    <w:rsid w:val="00220211"/>
    <w:rsid w:val="002205D3"/>
    <w:rsid w:val="00225C5C"/>
    <w:rsid w:val="00241A4A"/>
    <w:rsid w:val="00241F83"/>
    <w:rsid w:val="00252701"/>
    <w:rsid w:val="00285218"/>
    <w:rsid w:val="00286886"/>
    <w:rsid w:val="002907D2"/>
    <w:rsid w:val="002A6E5D"/>
    <w:rsid w:val="002A7101"/>
    <w:rsid w:val="002B70C6"/>
    <w:rsid w:val="002B7FC3"/>
    <w:rsid w:val="002C47BD"/>
    <w:rsid w:val="002C636D"/>
    <w:rsid w:val="002D7C92"/>
    <w:rsid w:val="002F337B"/>
    <w:rsid w:val="002F38A2"/>
    <w:rsid w:val="002F7334"/>
    <w:rsid w:val="0030282E"/>
    <w:rsid w:val="0031213A"/>
    <w:rsid w:val="00321B2B"/>
    <w:rsid w:val="003469CD"/>
    <w:rsid w:val="003512A2"/>
    <w:rsid w:val="0036293A"/>
    <w:rsid w:val="00363D6A"/>
    <w:rsid w:val="00373B38"/>
    <w:rsid w:val="003B2CFB"/>
    <w:rsid w:val="003E28FC"/>
    <w:rsid w:val="004003E8"/>
    <w:rsid w:val="00414C10"/>
    <w:rsid w:val="00423B2B"/>
    <w:rsid w:val="004726F3"/>
    <w:rsid w:val="004855C8"/>
    <w:rsid w:val="00491C2E"/>
    <w:rsid w:val="00493D8B"/>
    <w:rsid w:val="004F2657"/>
    <w:rsid w:val="00517232"/>
    <w:rsid w:val="005271EE"/>
    <w:rsid w:val="00527D9B"/>
    <w:rsid w:val="005304FC"/>
    <w:rsid w:val="00535385"/>
    <w:rsid w:val="00571701"/>
    <w:rsid w:val="00594644"/>
    <w:rsid w:val="0059564D"/>
    <w:rsid w:val="005B078A"/>
    <w:rsid w:val="005C3B6E"/>
    <w:rsid w:val="005C497F"/>
    <w:rsid w:val="005C4B97"/>
    <w:rsid w:val="005F0E7C"/>
    <w:rsid w:val="005F47B8"/>
    <w:rsid w:val="0060176A"/>
    <w:rsid w:val="006109A7"/>
    <w:rsid w:val="006347C7"/>
    <w:rsid w:val="0065131E"/>
    <w:rsid w:val="0066744D"/>
    <w:rsid w:val="00667E7E"/>
    <w:rsid w:val="00681C98"/>
    <w:rsid w:val="006D42F6"/>
    <w:rsid w:val="006D4E65"/>
    <w:rsid w:val="006E299B"/>
    <w:rsid w:val="006F06B9"/>
    <w:rsid w:val="006F4C23"/>
    <w:rsid w:val="00701EC5"/>
    <w:rsid w:val="00715F3D"/>
    <w:rsid w:val="00733413"/>
    <w:rsid w:val="007374C2"/>
    <w:rsid w:val="00754CF9"/>
    <w:rsid w:val="0078489D"/>
    <w:rsid w:val="007F453B"/>
    <w:rsid w:val="00807CD1"/>
    <w:rsid w:val="00811036"/>
    <w:rsid w:val="00820083"/>
    <w:rsid w:val="008217AB"/>
    <w:rsid w:val="0085196F"/>
    <w:rsid w:val="00857EC9"/>
    <w:rsid w:val="0086337B"/>
    <w:rsid w:val="0086368F"/>
    <w:rsid w:val="00870F47"/>
    <w:rsid w:val="00877D8F"/>
    <w:rsid w:val="00891E81"/>
    <w:rsid w:val="008A3172"/>
    <w:rsid w:val="008B17D0"/>
    <w:rsid w:val="008B595D"/>
    <w:rsid w:val="008D03A2"/>
    <w:rsid w:val="00901FEE"/>
    <w:rsid w:val="00916E27"/>
    <w:rsid w:val="00951F25"/>
    <w:rsid w:val="00957400"/>
    <w:rsid w:val="009B0140"/>
    <w:rsid w:val="009C3DA1"/>
    <w:rsid w:val="00A02E66"/>
    <w:rsid w:val="00A1202E"/>
    <w:rsid w:val="00A31DDE"/>
    <w:rsid w:val="00A3378A"/>
    <w:rsid w:val="00A415D5"/>
    <w:rsid w:val="00A4663E"/>
    <w:rsid w:val="00A473C2"/>
    <w:rsid w:val="00A54DBE"/>
    <w:rsid w:val="00A860A4"/>
    <w:rsid w:val="00A86984"/>
    <w:rsid w:val="00A873E7"/>
    <w:rsid w:val="00A95B87"/>
    <w:rsid w:val="00A9757C"/>
    <w:rsid w:val="00AD4684"/>
    <w:rsid w:val="00AF2BAD"/>
    <w:rsid w:val="00B24561"/>
    <w:rsid w:val="00B45F64"/>
    <w:rsid w:val="00B515DF"/>
    <w:rsid w:val="00B61ED5"/>
    <w:rsid w:val="00B9126D"/>
    <w:rsid w:val="00BA17E8"/>
    <w:rsid w:val="00BA6ADF"/>
    <w:rsid w:val="00BC0489"/>
    <w:rsid w:val="00BC6970"/>
    <w:rsid w:val="00BE386F"/>
    <w:rsid w:val="00BF46FC"/>
    <w:rsid w:val="00C0390B"/>
    <w:rsid w:val="00C15EB9"/>
    <w:rsid w:val="00C166E0"/>
    <w:rsid w:val="00C20DE7"/>
    <w:rsid w:val="00C240F2"/>
    <w:rsid w:val="00C34ADB"/>
    <w:rsid w:val="00C430E6"/>
    <w:rsid w:val="00C44F2A"/>
    <w:rsid w:val="00C450CC"/>
    <w:rsid w:val="00C54CD2"/>
    <w:rsid w:val="00C56299"/>
    <w:rsid w:val="00C56A00"/>
    <w:rsid w:val="00C71391"/>
    <w:rsid w:val="00CB36C7"/>
    <w:rsid w:val="00CC3D28"/>
    <w:rsid w:val="00CD17A3"/>
    <w:rsid w:val="00D022E4"/>
    <w:rsid w:val="00D24DFE"/>
    <w:rsid w:val="00D37807"/>
    <w:rsid w:val="00D40FB1"/>
    <w:rsid w:val="00D43D45"/>
    <w:rsid w:val="00D4501D"/>
    <w:rsid w:val="00D5288F"/>
    <w:rsid w:val="00D66CEF"/>
    <w:rsid w:val="00D72CE1"/>
    <w:rsid w:val="00D77674"/>
    <w:rsid w:val="00D80272"/>
    <w:rsid w:val="00D92694"/>
    <w:rsid w:val="00D93D95"/>
    <w:rsid w:val="00D94051"/>
    <w:rsid w:val="00D95E2F"/>
    <w:rsid w:val="00DA437B"/>
    <w:rsid w:val="00DA5C99"/>
    <w:rsid w:val="00DA6EA0"/>
    <w:rsid w:val="00DB0832"/>
    <w:rsid w:val="00DB3049"/>
    <w:rsid w:val="00DC7ADB"/>
    <w:rsid w:val="00DF4BB9"/>
    <w:rsid w:val="00E10250"/>
    <w:rsid w:val="00E42011"/>
    <w:rsid w:val="00E47A85"/>
    <w:rsid w:val="00E54B68"/>
    <w:rsid w:val="00E56B06"/>
    <w:rsid w:val="00E57ACD"/>
    <w:rsid w:val="00EB53B3"/>
    <w:rsid w:val="00ED6CF8"/>
    <w:rsid w:val="00EE0316"/>
    <w:rsid w:val="00EF1EC9"/>
    <w:rsid w:val="00EF4B15"/>
    <w:rsid w:val="00EF5D29"/>
    <w:rsid w:val="00F02B38"/>
    <w:rsid w:val="00F05FE9"/>
    <w:rsid w:val="00F0676E"/>
    <w:rsid w:val="00F07144"/>
    <w:rsid w:val="00F209E5"/>
    <w:rsid w:val="00F26DE2"/>
    <w:rsid w:val="00F3043D"/>
    <w:rsid w:val="00F31F46"/>
    <w:rsid w:val="00F34F67"/>
    <w:rsid w:val="00F37349"/>
    <w:rsid w:val="00F46140"/>
    <w:rsid w:val="00F55966"/>
    <w:rsid w:val="00F64A50"/>
    <w:rsid w:val="00F800CC"/>
    <w:rsid w:val="00F92028"/>
    <w:rsid w:val="00FC1C80"/>
    <w:rsid w:val="00FC6A46"/>
    <w:rsid w:val="00FD24E9"/>
    <w:rsid w:val="00FE6C34"/>
    <w:rsid w:val="00FF45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D839B"/>
  <w15:docId w15:val="{84126753-9D05-4072-9DEC-1EEE66E35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4F2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C44F2A"/>
    <w:rPr>
      <w:color w:val="0000FF" w:themeColor="hyperlink"/>
      <w:u w:val="single"/>
    </w:rPr>
  </w:style>
  <w:style w:type="paragraph" w:styleId="Paragraphedeliste">
    <w:name w:val="List Paragraph"/>
    <w:basedOn w:val="Normal"/>
    <w:uiPriority w:val="34"/>
    <w:qFormat/>
    <w:rsid w:val="00C44F2A"/>
    <w:pPr>
      <w:ind w:left="720"/>
      <w:contextualSpacing/>
    </w:pPr>
  </w:style>
  <w:style w:type="paragraph" w:customStyle="1" w:styleId="Paragraphedeliste1">
    <w:name w:val="Paragraphe de liste1"/>
    <w:basedOn w:val="Normal"/>
    <w:rsid w:val="00C44F2A"/>
    <w:pPr>
      <w:spacing w:after="0" w:line="240" w:lineRule="auto"/>
      <w:ind w:left="720"/>
      <w:contextualSpacing/>
      <w:jc w:val="both"/>
    </w:pPr>
    <w:rPr>
      <w:rFonts w:ascii="Times New Roman" w:eastAsia="Times New Roman" w:hAnsi="Times New Roman" w:cs="Times New Roman"/>
      <w:szCs w:val="20"/>
      <w:lang w:eastAsia="fr-FR"/>
    </w:rPr>
  </w:style>
  <w:style w:type="character" w:styleId="Marquedecommentaire">
    <w:name w:val="annotation reference"/>
    <w:basedOn w:val="Policepardfaut"/>
    <w:uiPriority w:val="99"/>
    <w:semiHidden/>
    <w:unhideWhenUsed/>
    <w:rsid w:val="00C44F2A"/>
    <w:rPr>
      <w:sz w:val="16"/>
      <w:szCs w:val="16"/>
    </w:rPr>
  </w:style>
  <w:style w:type="paragraph" w:styleId="Commentaire">
    <w:name w:val="annotation text"/>
    <w:basedOn w:val="Normal"/>
    <w:link w:val="CommentaireCar"/>
    <w:uiPriority w:val="99"/>
    <w:semiHidden/>
    <w:unhideWhenUsed/>
    <w:rsid w:val="00C44F2A"/>
    <w:pPr>
      <w:spacing w:line="240" w:lineRule="auto"/>
    </w:pPr>
    <w:rPr>
      <w:sz w:val="20"/>
      <w:szCs w:val="20"/>
    </w:rPr>
  </w:style>
  <w:style w:type="character" w:customStyle="1" w:styleId="CommentaireCar">
    <w:name w:val="Commentaire Car"/>
    <w:basedOn w:val="Policepardfaut"/>
    <w:link w:val="Commentaire"/>
    <w:uiPriority w:val="99"/>
    <w:semiHidden/>
    <w:rsid w:val="00C44F2A"/>
    <w:rPr>
      <w:sz w:val="20"/>
      <w:szCs w:val="20"/>
    </w:rPr>
  </w:style>
  <w:style w:type="paragraph" w:styleId="Textedebulles">
    <w:name w:val="Balloon Text"/>
    <w:basedOn w:val="Normal"/>
    <w:link w:val="TextedebullesCar"/>
    <w:uiPriority w:val="99"/>
    <w:semiHidden/>
    <w:unhideWhenUsed/>
    <w:rsid w:val="00C44F2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44F2A"/>
    <w:rPr>
      <w:rFonts w:ascii="Tahoma" w:hAnsi="Tahoma" w:cs="Tahoma"/>
      <w:sz w:val="16"/>
      <w:szCs w:val="16"/>
    </w:rPr>
  </w:style>
  <w:style w:type="paragraph" w:styleId="En-tte">
    <w:name w:val="header"/>
    <w:basedOn w:val="Normal"/>
    <w:link w:val="En-tteCar"/>
    <w:uiPriority w:val="99"/>
    <w:unhideWhenUsed/>
    <w:rsid w:val="00C44F2A"/>
    <w:pPr>
      <w:tabs>
        <w:tab w:val="center" w:pos="4536"/>
        <w:tab w:val="right" w:pos="9072"/>
      </w:tabs>
      <w:spacing w:after="0" w:line="240" w:lineRule="auto"/>
    </w:pPr>
  </w:style>
  <w:style w:type="character" w:customStyle="1" w:styleId="En-tteCar">
    <w:name w:val="En-tête Car"/>
    <w:basedOn w:val="Policepardfaut"/>
    <w:link w:val="En-tte"/>
    <w:uiPriority w:val="99"/>
    <w:rsid w:val="00C44F2A"/>
  </w:style>
  <w:style w:type="paragraph" w:styleId="Pieddepage">
    <w:name w:val="footer"/>
    <w:basedOn w:val="Normal"/>
    <w:link w:val="PieddepageCar"/>
    <w:uiPriority w:val="99"/>
    <w:unhideWhenUsed/>
    <w:rsid w:val="00C44F2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44F2A"/>
  </w:style>
  <w:style w:type="paragraph" w:styleId="Objetducommentaire">
    <w:name w:val="annotation subject"/>
    <w:basedOn w:val="Commentaire"/>
    <w:next w:val="Commentaire"/>
    <w:link w:val="ObjetducommentaireCar"/>
    <w:uiPriority w:val="99"/>
    <w:semiHidden/>
    <w:unhideWhenUsed/>
    <w:rsid w:val="00877D8F"/>
    <w:rPr>
      <w:b/>
      <w:bCs/>
    </w:rPr>
  </w:style>
  <w:style w:type="character" w:customStyle="1" w:styleId="ObjetducommentaireCar">
    <w:name w:val="Objet du commentaire Car"/>
    <w:basedOn w:val="CommentaireCar"/>
    <w:link w:val="Objetducommentaire"/>
    <w:uiPriority w:val="99"/>
    <w:semiHidden/>
    <w:rsid w:val="00877D8F"/>
    <w:rPr>
      <w:b/>
      <w:bCs/>
      <w:sz w:val="20"/>
      <w:szCs w:val="20"/>
    </w:rPr>
  </w:style>
  <w:style w:type="character" w:styleId="Lienhypertextesuivivisit">
    <w:name w:val="FollowedHyperlink"/>
    <w:basedOn w:val="Policepardfaut"/>
    <w:uiPriority w:val="99"/>
    <w:semiHidden/>
    <w:unhideWhenUsed/>
    <w:rsid w:val="00E42011"/>
    <w:rPr>
      <w:color w:val="800080" w:themeColor="followedHyperlink"/>
      <w:u w:val="single"/>
    </w:rPr>
  </w:style>
  <w:style w:type="paragraph" w:styleId="Sansinterligne">
    <w:name w:val="No Spacing"/>
    <w:uiPriority w:val="1"/>
    <w:qFormat/>
    <w:rsid w:val="00B61ED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774592">
      <w:bodyDiv w:val="1"/>
      <w:marLeft w:val="0"/>
      <w:marRight w:val="0"/>
      <w:marTop w:val="0"/>
      <w:marBottom w:val="0"/>
      <w:divBdr>
        <w:top w:val="none" w:sz="0" w:space="0" w:color="auto"/>
        <w:left w:val="none" w:sz="0" w:space="0" w:color="auto"/>
        <w:bottom w:val="none" w:sz="0" w:space="0" w:color="auto"/>
        <w:right w:val="none" w:sz="0" w:space="0" w:color="auto"/>
      </w:divBdr>
    </w:div>
    <w:div w:id="500314037">
      <w:bodyDiv w:val="1"/>
      <w:marLeft w:val="0"/>
      <w:marRight w:val="0"/>
      <w:marTop w:val="0"/>
      <w:marBottom w:val="0"/>
      <w:divBdr>
        <w:top w:val="none" w:sz="0" w:space="0" w:color="auto"/>
        <w:left w:val="none" w:sz="0" w:space="0" w:color="auto"/>
        <w:bottom w:val="none" w:sz="0" w:space="0" w:color="auto"/>
        <w:right w:val="none" w:sz="0" w:space="0" w:color="auto"/>
      </w:divBdr>
    </w:div>
    <w:div w:id="1116558502">
      <w:bodyDiv w:val="1"/>
      <w:marLeft w:val="0"/>
      <w:marRight w:val="0"/>
      <w:marTop w:val="0"/>
      <w:marBottom w:val="0"/>
      <w:divBdr>
        <w:top w:val="none" w:sz="0" w:space="0" w:color="auto"/>
        <w:left w:val="none" w:sz="0" w:space="0" w:color="auto"/>
        <w:bottom w:val="none" w:sz="0" w:space="0" w:color="auto"/>
        <w:right w:val="none" w:sz="0" w:space="0" w:color="auto"/>
      </w:divBdr>
    </w:div>
    <w:div w:id="1168014940">
      <w:bodyDiv w:val="1"/>
      <w:marLeft w:val="0"/>
      <w:marRight w:val="0"/>
      <w:marTop w:val="0"/>
      <w:marBottom w:val="0"/>
      <w:divBdr>
        <w:top w:val="none" w:sz="0" w:space="0" w:color="auto"/>
        <w:left w:val="none" w:sz="0" w:space="0" w:color="auto"/>
        <w:bottom w:val="none" w:sz="0" w:space="0" w:color="auto"/>
        <w:right w:val="none" w:sz="0" w:space="0" w:color="auto"/>
      </w:divBdr>
    </w:div>
    <w:div w:id="1381899055">
      <w:bodyDiv w:val="1"/>
      <w:marLeft w:val="0"/>
      <w:marRight w:val="0"/>
      <w:marTop w:val="0"/>
      <w:marBottom w:val="0"/>
      <w:divBdr>
        <w:top w:val="none" w:sz="0" w:space="0" w:color="auto"/>
        <w:left w:val="none" w:sz="0" w:space="0" w:color="auto"/>
        <w:bottom w:val="none" w:sz="0" w:space="0" w:color="auto"/>
        <w:right w:val="none" w:sz="0" w:space="0" w:color="auto"/>
      </w:divBdr>
    </w:div>
    <w:div w:id="1692218219">
      <w:bodyDiv w:val="1"/>
      <w:marLeft w:val="0"/>
      <w:marRight w:val="0"/>
      <w:marTop w:val="0"/>
      <w:marBottom w:val="0"/>
      <w:divBdr>
        <w:top w:val="none" w:sz="0" w:space="0" w:color="auto"/>
        <w:left w:val="none" w:sz="0" w:space="0" w:color="auto"/>
        <w:bottom w:val="none" w:sz="0" w:space="0" w:color="auto"/>
        <w:right w:val="none" w:sz="0" w:space="0" w:color="auto"/>
      </w:divBdr>
    </w:div>
    <w:div w:id="1901161844">
      <w:bodyDiv w:val="1"/>
      <w:marLeft w:val="0"/>
      <w:marRight w:val="0"/>
      <w:marTop w:val="0"/>
      <w:marBottom w:val="0"/>
      <w:divBdr>
        <w:top w:val="none" w:sz="0" w:space="0" w:color="auto"/>
        <w:left w:val="none" w:sz="0" w:space="0" w:color="auto"/>
        <w:bottom w:val="none" w:sz="0" w:space="0" w:color="auto"/>
        <w:right w:val="none" w:sz="0" w:space="0" w:color="auto"/>
      </w:divBdr>
    </w:div>
    <w:div w:id="2124574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9CF9E0-C105-4405-AF08-0392AD1B8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12</Pages>
  <Words>3848</Words>
  <Characters>21170</Characters>
  <Application>Microsoft Office Word</Application>
  <DocSecurity>0</DocSecurity>
  <Lines>176</Lines>
  <Paragraphs>49</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24969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ADNOT</dc:creator>
  <cp:lastModifiedBy>WILKINSON Baptiste (UA 2775)</cp:lastModifiedBy>
  <cp:revision>9</cp:revision>
  <dcterms:created xsi:type="dcterms:W3CDTF">2020-12-17T17:17:00Z</dcterms:created>
  <dcterms:modified xsi:type="dcterms:W3CDTF">2023-01-02T16:24:00Z</dcterms:modified>
</cp:coreProperties>
</file>