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4F2A" w:rsidRPr="00C44F2A" w:rsidRDefault="00C44F2A" w:rsidP="00C44F2A">
      <w:pPr>
        <w:spacing w:after="0" w:line="240" w:lineRule="auto"/>
        <w:rPr>
          <w:rFonts w:ascii="Garamond" w:eastAsia="Times New Roman" w:hAnsi="Garamond" w:cs="Times New Roman"/>
          <w:b/>
          <w:color w:val="003B8E"/>
          <w:lang w:eastAsia="fr-FR"/>
        </w:rPr>
      </w:pPr>
    </w:p>
    <w:p w:rsidR="00321B2B" w:rsidRDefault="00074DE9" w:rsidP="00321B2B">
      <w:pPr>
        <w:rPr>
          <w:rFonts w:ascii="Garamond" w:hAnsi="Garamond"/>
          <w:lang w:val="en-US"/>
        </w:rPr>
      </w:pPr>
      <w:r w:rsidRPr="00186C94">
        <w:rPr>
          <w:noProof/>
          <w:color w:val="FFFFFF"/>
          <w:lang w:eastAsia="fr-FR"/>
        </w:rPr>
        <w:drawing>
          <wp:inline distT="0" distB="0" distL="0" distR="0" wp14:anchorId="6081BB37" wp14:editId="6BF82876">
            <wp:extent cx="1110545" cy="990021"/>
            <wp:effectExtent l="0" t="0" r="0" b="635"/>
            <wp:docPr id="1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119861" cy="998326"/>
                    </a:xfrm>
                    <a:prstGeom prst="rect">
                      <a:avLst/>
                    </a:prstGeom>
                    <a:noFill/>
                    <a:ln w="9525">
                      <a:noFill/>
                      <a:miter lim="800000"/>
                      <a:headEnd/>
                      <a:tailEnd/>
                    </a:ln>
                  </pic:spPr>
                </pic:pic>
              </a:graphicData>
            </a:graphic>
          </wp:inline>
        </w:drawing>
      </w:r>
    </w:p>
    <w:p w:rsidR="00321B2B" w:rsidRDefault="00321B2B" w:rsidP="00321B2B">
      <w:pPr>
        <w:jc w:val="center"/>
        <w:rPr>
          <w:rFonts w:ascii="Garamond" w:hAnsi="Garamond"/>
          <w:b/>
          <w:sz w:val="28"/>
          <w:szCs w:val="28"/>
        </w:rPr>
      </w:pPr>
      <w:r>
        <w:rPr>
          <w:rFonts w:ascii="Garamond" w:hAnsi="Garamond"/>
          <w:b/>
          <w:sz w:val="28"/>
          <w:szCs w:val="28"/>
        </w:rPr>
        <w:t xml:space="preserve">Guide méthodologique </w:t>
      </w:r>
    </w:p>
    <w:p w:rsidR="00321B2B" w:rsidRDefault="00321B2B" w:rsidP="00321B2B">
      <w:pPr>
        <w:jc w:val="center"/>
        <w:rPr>
          <w:rFonts w:ascii="Garamond" w:hAnsi="Garamond"/>
          <w:b/>
          <w:sz w:val="28"/>
          <w:szCs w:val="28"/>
        </w:rPr>
      </w:pPr>
      <w:r>
        <w:rPr>
          <w:rFonts w:ascii="Garamond" w:hAnsi="Garamond"/>
          <w:b/>
          <w:sz w:val="28"/>
          <w:szCs w:val="28"/>
        </w:rPr>
        <w:t>Documents prudentiels européens quantitatifs à communiquer annuellement par les organismes de retraite professionnelle supplémentaire</w:t>
      </w:r>
    </w:p>
    <w:p w:rsidR="00321B2B" w:rsidRDefault="00321B2B" w:rsidP="00321B2B">
      <w:pPr>
        <w:spacing w:after="0" w:line="240" w:lineRule="auto"/>
        <w:jc w:val="center"/>
        <w:rPr>
          <w:rFonts w:ascii="Garamond" w:hAnsi="Garamond"/>
        </w:rPr>
      </w:pPr>
      <w:r>
        <w:rPr>
          <w:rFonts w:ascii="Garamond" w:hAnsi="Garamond"/>
        </w:rPr>
        <w:tab/>
      </w:r>
    </w:p>
    <w:p w:rsidR="00321B2B" w:rsidRDefault="00321B2B" w:rsidP="00321B2B">
      <w:pPr>
        <w:spacing w:after="0" w:line="240" w:lineRule="auto"/>
        <w:jc w:val="center"/>
        <w:rPr>
          <w:rFonts w:ascii="Garamond" w:hAnsi="Garamond"/>
        </w:rPr>
      </w:pPr>
    </w:p>
    <w:p w:rsidR="00321B2B" w:rsidRDefault="00321B2B" w:rsidP="00321B2B">
      <w:pPr>
        <w:pStyle w:val="Paragraphedeliste1"/>
        <w:ind w:left="0" w:firstLine="708"/>
        <w:rPr>
          <w:rFonts w:ascii="Garamond" w:hAnsi="Garamond"/>
          <w:szCs w:val="22"/>
        </w:rPr>
      </w:pPr>
      <w:r>
        <w:rPr>
          <w:rFonts w:ascii="Garamond" w:hAnsi="Garamond"/>
          <w:szCs w:val="22"/>
        </w:rPr>
        <w:t xml:space="preserve">Ce guide méthodologique traite des états quantitatifs présentés dans </w:t>
      </w:r>
      <w:r w:rsidR="004E6797">
        <w:rPr>
          <w:rFonts w:ascii="Garamond" w:hAnsi="Garamond"/>
          <w:szCs w:val="22"/>
        </w:rPr>
        <w:t>l’instruction 2020-I-05.</w:t>
      </w:r>
    </w:p>
    <w:p w:rsidR="00C44F2A" w:rsidRDefault="00C44F2A" w:rsidP="00C44F2A">
      <w:pPr>
        <w:spacing w:after="0" w:line="240" w:lineRule="auto"/>
        <w:jc w:val="center"/>
        <w:rPr>
          <w:rFonts w:ascii="Garamond" w:eastAsia="Times New Roman" w:hAnsi="Garamond" w:cs="Times New Roman"/>
          <w:b/>
          <w:color w:val="003B8E"/>
          <w:lang w:eastAsia="fr-FR"/>
        </w:rPr>
      </w:pPr>
    </w:p>
    <w:p w:rsidR="00C44F2A" w:rsidRDefault="00C44F2A" w:rsidP="00C44F2A">
      <w:pPr>
        <w:spacing w:after="0" w:line="240" w:lineRule="auto"/>
        <w:jc w:val="center"/>
        <w:rPr>
          <w:rFonts w:ascii="Garamond" w:eastAsia="Times New Roman" w:hAnsi="Garamond" w:cs="Times New Roman"/>
          <w:b/>
          <w:color w:val="003B8E"/>
          <w:lang w:eastAsia="fr-FR"/>
        </w:rPr>
      </w:pPr>
    </w:p>
    <w:p w:rsidR="009E5F35" w:rsidRPr="009E5F35" w:rsidRDefault="009E5F35" w:rsidP="009E5F35">
      <w:pPr>
        <w:spacing w:after="0" w:line="240" w:lineRule="auto"/>
        <w:jc w:val="center"/>
        <w:rPr>
          <w:rFonts w:ascii="Garamond" w:eastAsia="Times New Roman" w:hAnsi="Garamond" w:cs="Times New Roman"/>
          <w:b/>
          <w:color w:val="003B8E"/>
          <w:lang w:eastAsia="fr-FR"/>
        </w:rPr>
      </w:pPr>
      <w:r>
        <w:rPr>
          <w:rFonts w:ascii="Garamond" w:eastAsia="Times New Roman" w:hAnsi="Garamond" w:cs="Times New Roman"/>
          <w:b/>
          <w:color w:val="003B8E"/>
          <w:lang w:eastAsia="fr-FR"/>
        </w:rPr>
        <w:t>PF.</w:t>
      </w:r>
      <w:r w:rsidR="00D02AF7">
        <w:rPr>
          <w:rFonts w:ascii="Garamond" w:eastAsia="Times New Roman" w:hAnsi="Garamond" w:cs="Times New Roman"/>
          <w:b/>
          <w:color w:val="003B8E"/>
          <w:lang w:eastAsia="fr-FR"/>
        </w:rPr>
        <w:t>52</w:t>
      </w:r>
      <w:r>
        <w:rPr>
          <w:rFonts w:ascii="Garamond" w:eastAsia="Times New Roman" w:hAnsi="Garamond" w:cs="Times New Roman"/>
          <w:b/>
          <w:color w:val="003B8E"/>
          <w:lang w:eastAsia="fr-FR"/>
        </w:rPr>
        <w:t>.0</w:t>
      </w:r>
      <w:r w:rsidR="00D02AF7">
        <w:rPr>
          <w:rFonts w:ascii="Garamond" w:eastAsia="Times New Roman" w:hAnsi="Garamond" w:cs="Times New Roman"/>
          <w:b/>
          <w:color w:val="003B8E"/>
          <w:lang w:eastAsia="fr-FR"/>
        </w:rPr>
        <w:t>1</w:t>
      </w:r>
      <w:r w:rsidR="00176292">
        <w:rPr>
          <w:rFonts w:ascii="Garamond" w:eastAsia="Times New Roman" w:hAnsi="Garamond" w:cs="Times New Roman"/>
          <w:b/>
          <w:color w:val="003B8E"/>
          <w:lang w:eastAsia="fr-FR"/>
        </w:rPr>
        <w:t xml:space="preserve"> </w:t>
      </w:r>
    </w:p>
    <w:p w:rsidR="009E5F35" w:rsidRPr="009E5F35" w:rsidRDefault="00D02AF7" w:rsidP="009E5F35">
      <w:pPr>
        <w:spacing w:after="0" w:line="240" w:lineRule="auto"/>
        <w:jc w:val="center"/>
        <w:rPr>
          <w:rFonts w:ascii="Garamond" w:eastAsia="Times New Roman" w:hAnsi="Garamond" w:cs="Times New Roman"/>
          <w:b/>
          <w:color w:val="003B8E"/>
          <w:lang w:eastAsia="fr-FR"/>
        </w:rPr>
      </w:pPr>
      <w:r w:rsidRPr="00D02AF7">
        <w:rPr>
          <w:rFonts w:ascii="Garamond" w:eastAsia="Times New Roman" w:hAnsi="Garamond" w:cs="Times New Roman"/>
          <w:b/>
          <w:color w:val="003B8E"/>
          <w:lang w:eastAsia="fr-FR"/>
        </w:rPr>
        <w:t>Informations sur le PEPP et l’épargnant</w:t>
      </w:r>
      <w:r w:rsidR="009E5F35" w:rsidRPr="009E5F35">
        <w:rPr>
          <w:rFonts w:ascii="Garamond" w:eastAsia="Times New Roman" w:hAnsi="Garamond" w:cs="Times New Roman"/>
          <w:b/>
          <w:color w:val="003B8E"/>
          <w:lang w:eastAsia="fr-FR"/>
        </w:rPr>
        <w:t xml:space="preserve"> (Remise annuelle)</w:t>
      </w:r>
    </w:p>
    <w:p w:rsidR="009E5F35" w:rsidRPr="009E5F35" w:rsidRDefault="009E5F35" w:rsidP="009E5F35">
      <w:pPr>
        <w:spacing w:before="20" w:after="0" w:line="240" w:lineRule="auto"/>
        <w:jc w:val="both"/>
        <w:rPr>
          <w:rFonts w:ascii="Garamond" w:eastAsia="Times New Roman" w:hAnsi="Garamond" w:cs="Times New Roman"/>
          <w:lang w:eastAsia="fr-FR"/>
        </w:rPr>
      </w:pPr>
    </w:p>
    <w:p w:rsidR="009E5F35" w:rsidRPr="009E5F35" w:rsidRDefault="009E5F35" w:rsidP="009E5F35">
      <w:pPr>
        <w:spacing w:after="0" w:line="240" w:lineRule="auto"/>
        <w:rPr>
          <w:rFonts w:ascii="Garamond" w:eastAsia="Times New Roman" w:hAnsi="Garamond" w:cs="Times New Roman"/>
          <w:lang w:eastAsia="fr-FR"/>
        </w:rPr>
      </w:pPr>
    </w:p>
    <w:p w:rsidR="006C2D2C" w:rsidRDefault="006C2D2C" w:rsidP="006C2D2C">
      <w:pPr>
        <w:numPr>
          <w:ilvl w:val="0"/>
          <w:numId w:val="5"/>
        </w:numPr>
        <w:spacing w:before="120" w:after="0" w:line="240" w:lineRule="auto"/>
        <w:contextualSpacing/>
        <w:rPr>
          <w:rFonts w:ascii="Garamond" w:hAnsi="Garamond"/>
          <w:b/>
        </w:rPr>
      </w:pPr>
      <w:r>
        <w:rPr>
          <w:rFonts w:ascii="Garamond" w:hAnsi="Garamond"/>
          <w:b/>
        </w:rPr>
        <w:t>Généralités</w:t>
      </w:r>
    </w:p>
    <w:p w:rsidR="006C2D2C" w:rsidRDefault="006C2D2C" w:rsidP="006C2D2C">
      <w:pPr>
        <w:spacing w:before="120" w:after="0" w:line="240" w:lineRule="auto"/>
        <w:contextualSpacing/>
        <w:rPr>
          <w:rFonts w:ascii="Garamond" w:hAnsi="Garamond"/>
          <w:b/>
        </w:rPr>
      </w:pPr>
    </w:p>
    <w:p w:rsidR="00D02AF7" w:rsidRDefault="003564E8" w:rsidP="003564E8">
      <w:pPr>
        <w:spacing w:before="120" w:after="0" w:line="240" w:lineRule="auto"/>
        <w:contextualSpacing/>
        <w:jc w:val="both"/>
        <w:rPr>
          <w:rFonts w:ascii="Garamond" w:hAnsi="Garamond"/>
        </w:rPr>
      </w:pPr>
      <w:r w:rsidRPr="003564E8">
        <w:rPr>
          <w:rFonts w:ascii="Garamond" w:hAnsi="Garamond"/>
        </w:rPr>
        <w:t xml:space="preserve">La présente section concerne la communication annuelle d’informations détaillées sur chaque PEPP. Les informations doivent être fournies PEPP par PEPP. De plus, des informations doivent être fournies pour chaque type d’option du PEPP (PEPP de base ou autres options d’investissement), par pays de commercialisation et pour chaque </w:t>
      </w:r>
      <w:proofErr w:type="spellStart"/>
      <w:r w:rsidRPr="003564E8">
        <w:rPr>
          <w:rFonts w:ascii="Garamond" w:hAnsi="Garamond"/>
        </w:rPr>
        <w:t>sous-compte</w:t>
      </w:r>
      <w:proofErr w:type="spellEnd"/>
      <w:r w:rsidRPr="003564E8">
        <w:rPr>
          <w:rFonts w:ascii="Garamond" w:hAnsi="Garamond"/>
        </w:rPr>
        <w:t xml:space="preserve"> ouvert. Si les options d’investissement alternatives ont pris, individuellement ou globalement, une importance significative par rapport à l’épargne accumulée dans le PEPP de base, ces informations doivent être fournies à un niveau plus détaillé, ou au niveau de chaque option d’investissement.</w:t>
      </w:r>
    </w:p>
    <w:p w:rsidR="003564E8" w:rsidRPr="00D02AF7" w:rsidRDefault="003564E8" w:rsidP="003564E8">
      <w:pPr>
        <w:spacing w:before="120" w:after="0" w:line="240" w:lineRule="auto"/>
        <w:contextualSpacing/>
        <w:jc w:val="both"/>
        <w:rPr>
          <w:rFonts w:ascii="Garamond" w:hAnsi="Garamond"/>
        </w:rPr>
      </w:pPr>
      <w:bookmarkStart w:id="0" w:name="_GoBack"/>
      <w:bookmarkEnd w:id="0"/>
    </w:p>
    <w:p w:rsidR="00D02AF7" w:rsidRPr="00D02AF7" w:rsidRDefault="00D02AF7" w:rsidP="00D02AF7">
      <w:pPr>
        <w:spacing w:before="120" w:after="0" w:line="240" w:lineRule="auto"/>
        <w:contextualSpacing/>
        <w:rPr>
          <w:rFonts w:ascii="Garamond" w:hAnsi="Garamond"/>
        </w:rPr>
      </w:pPr>
      <w:r w:rsidRPr="00D02AF7">
        <w:rPr>
          <w:rFonts w:ascii="Garamond" w:hAnsi="Garamond"/>
        </w:rPr>
        <w:t>Toutes les valeurs sont à déclarer conformément au cadre prudentiel dont relève l’entité.</w:t>
      </w:r>
    </w:p>
    <w:p w:rsidR="00D02AF7" w:rsidRPr="00D02AF7" w:rsidRDefault="00D02AF7" w:rsidP="00D02AF7">
      <w:pPr>
        <w:spacing w:before="120" w:after="0" w:line="240" w:lineRule="auto"/>
        <w:contextualSpacing/>
        <w:rPr>
          <w:rFonts w:ascii="Garamond" w:hAnsi="Garamond"/>
        </w:rPr>
      </w:pPr>
    </w:p>
    <w:p w:rsidR="009C233E" w:rsidRDefault="00D02AF7" w:rsidP="00054A98">
      <w:pPr>
        <w:spacing w:before="120" w:after="0" w:line="240" w:lineRule="auto"/>
        <w:contextualSpacing/>
        <w:jc w:val="both"/>
        <w:rPr>
          <w:rFonts w:ascii="Garamond" w:hAnsi="Garamond"/>
        </w:rPr>
      </w:pPr>
      <w:r w:rsidRPr="00D02AF7">
        <w:rPr>
          <w:rFonts w:ascii="Garamond" w:hAnsi="Garamond"/>
        </w:rPr>
        <w:t>Les informations concernant toutes les autres options d’investissement doivent être agrégées.</w:t>
      </w:r>
    </w:p>
    <w:p w:rsidR="00DB60AB" w:rsidRPr="00DB60AB" w:rsidRDefault="00DB60AB" w:rsidP="00DB60AB">
      <w:pPr>
        <w:spacing w:before="120" w:after="0" w:line="240" w:lineRule="auto"/>
        <w:contextualSpacing/>
        <w:rPr>
          <w:rFonts w:ascii="Garamond" w:hAnsi="Garamond"/>
        </w:rPr>
      </w:pPr>
    </w:p>
    <w:p w:rsidR="009E5F35" w:rsidRPr="009E5F35" w:rsidRDefault="009E5F35" w:rsidP="009E5F35">
      <w:pPr>
        <w:numPr>
          <w:ilvl w:val="0"/>
          <w:numId w:val="5"/>
        </w:numPr>
        <w:spacing w:before="120" w:after="0" w:line="240" w:lineRule="auto"/>
        <w:contextualSpacing/>
        <w:rPr>
          <w:rFonts w:ascii="Garamond" w:hAnsi="Garamond"/>
          <w:b/>
        </w:rPr>
      </w:pPr>
      <w:r w:rsidRPr="009E5F35">
        <w:rPr>
          <w:rFonts w:ascii="Garamond" w:eastAsia="Times New Roman" w:hAnsi="Garamond" w:cs="Times New Roman"/>
          <w:b/>
          <w:lang w:eastAsia="fr-FR"/>
        </w:rPr>
        <w:t>Colonnes</w:t>
      </w:r>
    </w:p>
    <w:p w:rsidR="009E5F35" w:rsidRPr="009E5F35" w:rsidRDefault="009E5F35" w:rsidP="009E5F35">
      <w:pPr>
        <w:rPr>
          <w:rFonts w:ascii="Garamond" w:hAnsi="Garamond"/>
        </w:rPr>
      </w:pPr>
    </w:p>
    <w:tbl>
      <w:tblPr>
        <w:tblStyle w:val="Grilledutableau"/>
        <w:tblW w:w="0" w:type="auto"/>
        <w:tblLook w:val="04A0" w:firstRow="1" w:lastRow="0" w:firstColumn="1" w:lastColumn="0" w:noHBand="0" w:noVBand="1"/>
      </w:tblPr>
      <w:tblGrid>
        <w:gridCol w:w="1696"/>
        <w:gridCol w:w="2835"/>
        <w:gridCol w:w="4531"/>
      </w:tblGrid>
      <w:tr w:rsidR="00D02AF7" w:rsidRPr="0061324A" w:rsidTr="00AD3A49">
        <w:trPr>
          <w:cantSplit/>
          <w:trHeight w:val="285"/>
        </w:trPr>
        <w:tc>
          <w:tcPr>
            <w:tcW w:w="1696" w:type="dxa"/>
            <w:noWrap/>
            <w:hideMark/>
          </w:tcPr>
          <w:p w:rsidR="00D02AF7" w:rsidRPr="0061324A" w:rsidRDefault="00D02AF7" w:rsidP="00AD3A49">
            <w:pPr>
              <w:rPr>
                <w:rFonts w:ascii="Times New Roman" w:hAnsi="Times New Roman" w:cs="Times New Roman"/>
                <w:sz w:val="20"/>
                <w:szCs w:val="20"/>
                <w:lang w:val="fr-FR"/>
              </w:rPr>
            </w:pPr>
          </w:p>
        </w:tc>
        <w:tc>
          <w:tcPr>
            <w:tcW w:w="2835" w:type="dxa"/>
            <w:hideMark/>
          </w:tcPr>
          <w:p w:rsidR="00D02AF7" w:rsidRPr="0061324A" w:rsidRDefault="00D02AF7" w:rsidP="00AD3A49">
            <w:pPr>
              <w:rPr>
                <w:rFonts w:ascii="Times New Roman" w:hAnsi="Times New Roman" w:cs="Times New Roman"/>
                <w:b/>
                <w:bCs/>
                <w:sz w:val="20"/>
                <w:szCs w:val="20"/>
                <w:lang w:val="fr-FR"/>
              </w:rPr>
            </w:pPr>
            <w:r w:rsidRPr="0061324A">
              <w:rPr>
                <w:rFonts w:ascii="Times New Roman" w:hAnsi="Times New Roman" w:cs="Times New Roman"/>
                <w:b/>
                <w:bCs/>
                <w:sz w:val="20"/>
                <w:szCs w:val="20"/>
                <w:lang w:val="fr-FR"/>
              </w:rPr>
              <w:t>ÉLÉMENT À DÉCLARER</w:t>
            </w:r>
          </w:p>
        </w:tc>
        <w:tc>
          <w:tcPr>
            <w:tcW w:w="4531" w:type="dxa"/>
            <w:hideMark/>
          </w:tcPr>
          <w:p w:rsidR="00D02AF7" w:rsidRPr="0061324A" w:rsidRDefault="00D02AF7" w:rsidP="00AD3A49">
            <w:pPr>
              <w:rPr>
                <w:rFonts w:ascii="Times New Roman" w:hAnsi="Times New Roman" w:cs="Times New Roman"/>
                <w:b/>
                <w:bCs/>
                <w:sz w:val="20"/>
                <w:szCs w:val="20"/>
                <w:lang w:val="fr-FR"/>
              </w:rPr>
            </w:pPr>
            <w:r w:rsidRPr="0061324A">
              <w:rPr>
                <w:rFonts w:ascii="Times New Roman" w:hAnsi="Times New Roman" w:cs="Times New Roman"/>
                <w:b/>
                <w:bCs/>
                <w:sz w:val="20"/>
                <w:szCs w:val="20"/>
                <w:lang w:val="fr-FR"/>
              </w:rPr>
              <w:t>INSTRUCTIONS</w:t>
            </w:r>
          </w:p>
        </w:tc>
      </w:tr>
      <w:tr w:rsidR="00D02AF7" w:rsidRPr="0061324A" w:rsidTr="00AD3A49">
        <w:trPr>
          <w:cantSplit/>
        </w:trPr>
        <w:tc>
          <w:tcPr>
            <w:tcW w:w="9062" w:type="dxa"/>
            <w:gridSpan w:val="3"/>
          </w:tcPr>
          <w:p w:rsidR="00D02AF7" w:rsidRPr="00385B6A" w:rsidRDefault="00D02AF7" w:rsidP="00AD3A49">
            <w:pPr>
              <w:pStyle w:val="Default"/>
              <w:rPr>
                <w:b/>
                <w:sz w:val="20"/>
                <w:szCs w:val="20"/>
                <w:lang w:val="fr-FR"/>
              </w:rPr>
            </w:pPr>
            <w:r w:rsidRPr="00385B6A">
              <w:rPr>
                <w:b/>
                <w:sz w:val="20"/>
                <w:szCs w:val="20"/>
                <w:lang w:val="fr-FR"/>
              </w:rPr>
              <w:t>Informations sur le PEPP et l’épargnant PEPP</w:t>
            </w:r>
          </w:p>
        </w:tc>
      </w:tr>
      <w:tr w:rsidR="00D02AF7" w:rsidRPr="0061324A" w:rsidTr="00AD3A49">
        <w:trPr>
          <w:cantSplit/>
        </w:trPr>
        <w:tc>
          <w:tcPr>
            <w:tcW w:w="1696" w:type="dxa"/>
          </w:tcPr>
          <w:p w:rsidR="00D02AF7" w:rsidRPr="008C21A9" w:rsidRDefault="00D02AF7" w:rsidP="00AD3A49">
            <w:pPr>
              <w:pStyle w:val="Default"/>
              <w:rPr>
                <w:sz w:val="20"/>
                <w:szCs w:val="20"/>
                <w:lang w:val="fr-FR"/>
              </w:rPr>
            </w:pPr>
            <w:r w:rsidRPr="008C21A9">
              <w:rPr>
                <w:sz w:val="20"/>
                <w:szCs w:val="20"/>
                <w:lang w:val="fr-FR"/>
              </w:rPr>
              <w:t xml:space="preserve">Z0010 </w:t>
            </w:r>
          </w:p>
        </w:tc>
        <w:tc>
          <w:tcPr>
            <w:tcW w:w="2835" w:type="dxa"/>
            <w:noWrap/>
          </w:tcPr>
          <w:p w:rsidR="00D02AF7" w:rsidRPr="008C21A9" w:rsidRDefault="00D02AF7" w:rsidP="00AD3A49">
            <w:pPr>
              <w:pStyle w:val="Default"/>
              <w:rPr>
                <w:sz w:val="20"/>
                <w:szCs w:val="20"/>
                <w:lang w:val="fr-FR"/>
              </w:rPr>
            </w:pPr>
            <w:r w:rsidRPr="008C21A9">
              <w:rPr>
                <w:sz w:val="20"/>
                <w:szCs w:val="20"/>
                <w:lang w:val="fr-FR"/>
              </w:rPr>
              <w:t>Numéro d’enregistrement du PEPP</w:t>
            </w:r>
          </w:p>
        </w:tc>
        <w:tc>
          <w:tcPr>
            <w:tcW w:w="4531" w:type="dxa"/>
          </w:tcPr>
          <w:p w:rsidR="00D02AF7" w:rsidRPr="008C21A9" w:rsidRDefault="00D02AF7" w:rsidP="00AD3A49">
            <w:pPr>
              <w:pStyle w:val="Default"/>
              <w:rPr>
                <w:sz w:val="20"/>
                <w:szCs w:val="20"/>
                <w:lang w:val="fr-FR"/>
              </w:rPr>
            </w:pPr>
            <w:r w:rsidRPr="008C21A9">
              <w:rPr>
                <w:sz w:val="20"/>
                <w:szCs w:val="20"/>
                <w:lang w:val="fr-FR"/>
              </w:rPr>
              <w:t>Numéro d’enregistrement du PEPP attribué par l’AEAPP.</w:t>
            </w:r>
          </w:p>
        </w:tc>
      </w:tr>
      <w:tr w:rsidR="00D02AF7" w:rsidRPr="0061324A" w:rsidTr="00AD3A49">
        <w:trPr>
          <w:cantSplit/>
        </w:trPr>
        <w:tc>
          <w:tcPr>
            <w:tcW w:w="1696" w:type="dxa"/>
          </w:tcPr>
          <w:p w:rsidR="00D02AF7" w:rsidRPr="008C21A9" w:rsidRDefault="00D02AF7" w:rsidP="00AD3A49">
            <w:pPr>
              <w:pStyle w:val="Default"/>
              <w:rPr>
                <w:sz w:val="20"/>
                <w:szCs w:val="20"/>
                <w:lang w:val="fr-FR"/>
              </w:rPr>
            </w:pPr>
            <w:r w:rsidRPr="008C21A9">
              <w:rPr>
                <w:sz w:val="20"/>
                <w:szCs w:val="20"/>
                <w:lang w:val="fr-FR"/>
              </w:rPr>
              <w:t>C0020/R0010</w:t>
            </w:r>
          </w:p>
        </w:tc>
        <w:tc>
          <w:tcPr>
            <w:tcW w:w="2835" w:type="dxa"/>
            <w:noWrap/>
          </w:tcPr>
          <w:p w:rsidR="00D02AF7" w:rsidRPr="008C21A9" w:rsidRDefault="00D02AF7" w:rsidP="00AD3A49">
            <w:pPr>
              <w:pStyle w:val="Default"/>
              <w:rPr>
                <w:sz w:val="20"/>
                <w:szCs w:val="20"/>
                <w:lang w:val="fr-FR"/>
              </w:rPr>
            </w:pPr>
            <w:r w:rsidRPr="008C21A9">
              <w:rPr>
                <w:sz w:val="20"/>
                <w:szCs w:val="20"/>
                <w:lang w:val="fr-FR"/>
              </w:rPr>
              <w:t>Coûts administratifs du PEPP de base</w:t>
            </w:r>
          </w:p>
        </w:tc>
        <w:tc>
          <w:tcPr>
            <w:tcW w:w="4531" w:type="dxa"/>
          </w:tcPr>
          <w:p w:rsidR="00D02AF7" w:rsidRPr="008C21A9" w:rsidRDefault="00D02AF7" w:rsidP="00AD3A49">
            <w:pPr>
              <w:pStyle w:val="Default"/>
              <w:rPr>
                <w:sz w:val="20"/>
                <w:szCs w:val="20"/>
                <w:lang w:val="fr-FR"/>
              </w:rPr>
            </w:pPr>
            <w:r w:rsidRPr="008C21A9">
              <w:rPr>
                <w:sz w:val="20"/>
                <w:szCs w:val="20"/>
                <w:lang w:val="fr-FR"/>
              </w:rPr>
              <w:t>Montant total des coûts administratifs du PEPP facturés à l’épargnant PEPP durant la période de référence.</w:t>
            </w:r>
          </w:p>
          <w:p w:rsidR="00D02AF7" w:rsidRPr="008C21A9" w:rsidRDefault="00D02AF7" w:rsidP="00AD3A49">
            <w:pPr>
              <w:pStyle w:val="Default"/>
              <w:rPr>
                <w:lang w:val="fr-FR"/>
              </w:rPr>
            </w:pPr>
            <w:r w:rsidRPr="008C21A9">
              <w:rPr>
                <w:sz w:val="20"/>
                <w:szCs w:val="20"/>
                <w:lang w:val="fr-FR"/>
              </w:rPr>
              <w:t>Ce montant inclut les coûts ponctuels et les coûts récurrents du PEPP de base.</w:t>
            </w:r>
          </w:p>
        </w:tc>
      </w:tr>
      <w:tr w:rsidR="00D02AF7" w:rsidRPr="0061324A" w:rsidTr="00AD3A49">
        <w:trPr>
          <w:cantSplit/>
        </w:trPr>
        <w:tc>
          <w:tcPr>
            <w:tcW w:w="1696" w:type="dxa"/>
          </w:tcPr>
          <w:p w:rsidR="00D02AF7" w:rsidRPr="008C21A9" w:rsidRDefault="00D02AF7" w:rsidP="00AD3A49">
            <w:pPr>
              <w:pStyle w:val="Default"/>
              <w:rPr>
                <w:sz w:val="20"/>
                <w:szCs w:val="20"/>
                <w:lang w:val="fr-FR"/>
              </w:rPr>
            </w:pPr>
            <w:r w:rsidRPr="008C21A9">
              <w:rPr>
                <w:sz w:val="20"/>
                <w:szCs w:val="20"/>
                <w:lang w:val="fr-FR"/>
              </w:rPr>
              <w:t>C0040/R0010</w:t>
            </w:r>
          </w:p>
        </w:tc>
        <w:tc>
          <w:tcPr>
            <w:tcW w:w="2835" w:type="dxa"/>
            <w:noWrap/>
          </w:tcPr>
          <w:p w:rsidR="00D02AF7" w:rsidRPr="008C21A9" w:rsidRDefault="00D02AF7" w:rsidP="00AD3A49">
            <w:pPr>
              <w:pStyle w:val="Default"/>
              <w:rPr>
                <w:sz w:val="20"/>
                <w:szCs w:val="20"/>
                <w:lang w:val="fr-FR"/>
              </w:rPr>
            </w:pPr>
            <w:r w:rsidRPr="008C21A9">
              <w:rPr>
                <w:sz w:val="20"/>
                <w:szCs w:val="20"/>
                <w:lang w:val="fr-FR"/>
              </w:rPr>
              <w:t>Coûts de distribution du PEPP de base</w:t>
            </w:r>
          </w:p>
        </w:tc>
        <w:tc>
          <w:tcPr>
            <w:tcW w:w="4531" w:type="dxa"/>
          </w:tcPr>
          <w:p w:rsidR="00D02AF7" w:rsidRPr="008C21A9" w:rsidRDefault="00D02AF7" w:rsidP="00AD3A49">
            <w:pPr>
              <w:rPr>
                <w:rFonts w:ascii="Times New Roman" w:hAnsi="Times New Roman" w:cs="Times New Roman"/>
                <w:color w:val="000000"/>
                <w:sz w:val="20"/>
                <w:szCs w:val="20"/>
                <w:lang w:val="fr-FR"/>
              </w:rPr>
            </w:pPr>
            <w:r w:rsidRPr="008C21A9">
              <w:rPr>
                <w:rFonts w:ascii="Times New Roman" w:hAnsi="Times New Roman" w:cs="Times New Roman"/>
                <w:color w:val="000000"/>
                <w:sz w:val="20"/>
                <w:szCs w:val="20"/>
                <w:lang w:val="fr-FR"/>
              </w:rPr>
              <w:t>Montant total des coûts liés à la distribution du PEPP. Ce montant inclut les coûts ponctuels et les coûts récurrents du PEPP de base.</w:t>
            </w:r>
          </w:p>
        </w:tc>
      </w:tr>
      <w:tr w:rsidR="00D02AF7" w:rsidRPr="0061324A" w:rsidTr="00AD3A49">
        <w:trPr>
          <w:cantSplit/>
        </w:trPr>
        <w:tc>
          <w:tcPr>
            <w:tcW w:w="1696" w:type="dxa"/>
          </w:tcPr>
          <w:p w:rsidR="00D02AF7" w:rsidRPr="008C21A9" w:rsidRDefault="00D02AF7" w:rsidP="00AD3A49">
            <w:pPr>
              <w:pStyle w:val="Default"/>
              <w:rPr>
                <w:sz w:val="20"/>
                <w:szCs w:val="20"/>
                <w:lang w:val="fr-FR"/>
              </w:rPr>
            </w:pPr>
            <w:r w:rsidRPr="008C21A9">
              <w:rPr>
                <w:sz w:val="20"/>
                <w:szCs w:val="20"/>
                <w:lang w:val="fr-FR"/>
              </w:rPr>
              <w:t>C0050/R0010</w:t>
            </w:r>
          </w:p>
        </w:tc>
        <w:tc>
          <w:tcPr>
            <w:tcW w:w="2835" w:type="dxa"/>
            <w:noWrap/>
          </w:tcPr>
          <w:p w:rsidR="00D02AF7" w:rsidRPr="008C21A9" w:rsidRDefault="00D02AF7" w:rsidP="00AD3A49">
            <w:pPr>
              <w:pStyle w:val="Default"/>
              <w:rPr>
                <w:sz w:val="20"/>
                <w:szCs w:val="20"/>
                <w:lang w:val="fr-FR"/>
              </w:rPr>
            </w:pPr>
            <w:r w:rsidRPr="008C21A9">
              <w:rPr>
                <w:sz w:val="20"/>
                <w:szCs w:val="20"/>
                <w:lang w:val="fr-FR"/>
              </w:rPr>
              <w:t>Coûts des services de conseil sur le PEPP de base</w:t>
            </w:r>
          </w:p>
        </w:tc>
        <w:tc>
          <w:tcPr>
            <w:tcW w:w="4531" w:type="dxa"/>
          </w:tcPr>
          <w:p w:rsidR="00D02AF7" w:rsidRPr="008C21A9" w:rsidRDefault="00D02AF7" w:rsidP="00AD3A49">
            <w:pPr>
              <w:pStyle w:val="Default"/>
              <w:rPr>
                <w:sz w:val="20"/>
                <w:szCs w:val="20"/>
                <w:lang w:val="fr-FR"/>
              </w:rPr>
            </w:pPr>
            <w:r w:rsidRPr="008C21A9">
              <w:rPr>
                <w:sz w:val="20"/>
                <w:szCs w:val="20"/>
                <w:lang w:val="fr-FR"/>
              </w:rPr>
              <w:t>Montant total des coûts des services de conseil sur le PEPP facturés durant la période de référence.</w:t>
            </w:r>
          </w:p>
          <w:p w:rsidR="00D02AF7" w:rsidRPr="008C21A9" w:rsidRDefault="00D02AF7" w:rsidP="00AD3A49">
            <w:pPr>
              <w:pStyle w:val="Default"/>
              <w:rPr>
                <w:sz w:val="20"/>
                <w:szCs w:val="20"/>
                <w:lang w:val="fr-FR"/>
              </w:rPr>
            </w:pPr>
            <w:r w:rsidRPr="008C21A9">
              <w:rPr>
                <w:sz w:val="20"/>
                <w:szCs w:val="20"/>
                <w:lang w:val="fr-FR"/>
              </w:rPr>
              <w:t>Ce montant inclut les coûts ponctuels et les coûts récurrents du PEPP de base.</w:t>
            </w:r>
          </w:p>
        </w:tc>
      </w:tr>
      <w:tr w:rsidR="00D02AF7" w:rsidRPr="0061324A" w:rsidTr="00AD3A49">
        <w:trPr>
          <w:cantSplit/>
        </w:trPr>
        <w:tc>
          <w:tcPr>
            <w:tcW w:w="1696" w:type="dxa"/>
          </w:tcPr>
          <w:p w:rsidR="00D02AF7" w:rsidRPr="008C21A9" w:rsidRDefault="00D02AF7" w:rsidP="00AD3A49">
            <w:pPr>
              <w:pStyle w:val="Default"/>
              <w:rPr>
                <w:sz w:val="20"/>
                <w:szCs w:val="20"/>
                <w:lang w:val="fr-FR"/>
              </w:rPr>
            </w:pPr>
            <w:r w:rsidRPr="008C21A9">
              <w:rPr>
                <w:sz w:val="20"/>
                <w:szCs w:val="20"/>
                <w:lang w:val="fr-FR"/>
              </w:rPr>
              <w:lastRenderedPageBreak/>
              <w:t>C0060/R0010</w:t>
            </w:r>
          </w:p>
        </w:tc>
        <w:tc>
          <w:tcPr>
            <w:tcW w:w="2835" w:type="dxa"/>
            <w:noWrap/>
          </w:tcPr>
          <w:p w:rsidR="00D02AF7" w:rsidRPr="008C21A9" w:rsidRDefault="00D02AF7" w:rsidP="00AD3A49">
            <w:pPr>
              <w:pStyle w:val="Default"/>
              <w:rPr>
                <w:sz w:val="20"/>
                <w:szCs w:val="20"/>
                <w:lang w:val="fr-FR"/>
              </w:rPr>
            </w:pPr>
            <w:r w:rsidRPr="008C21A9">
              <w:rPr>
                <w:sz w:val="20"/>
                <w:szCs w:val="20"/>
                <w:lang w:val="fr-FR"/>
              </w:rPr>
              <w:t>Coûts d’investissement du PEPP de base</w:t>
            </w:r>
          </w:p>
        </w:tc>
        <w:tc>
          <w:tcPr>
            <w:tcW w:w="4531" w:type="dxa"/>
          </w:tcPr>
          <w:p w:rsidR="00D02AF7" w:rsidRPr="008C21A9" w:rsidRDefault="00D02AF7" w:rsidP="003564E8">
            <w:pPr>
              <w:pStyle w:val="Default"/>
              <w:jc w:val="both"/>
              <w:rPr>
                <w:sz w:val="20"/>
                <w:szCs w:val="20"/>
                <w:lang w:val="fr-FR"/>
              </w:rPr>
            </w:pPr>
            <w:r w:rsidRPr="008C21A9">
              <w:rPr>
                <w:sz w:val="20"/>
                <w:szCs w:val="20"/>
                <w:lang w:val="fr-FR"/>
              </w:rPr>
              <w:t>Montant total des coûts d’investissement liés au PEPP facturés durant la période de référence. Ces coûts couvrent les frais liés à la conservation d’actifs, les activités découlant de l’exécution d’opérations et les autres coûts liés aux activités d’investissement, mais ne relevant pas de ces deux catégories.</w:t>
            </w:r>
          </w:p>
          <w:p w:rsidR="00D02AF7" w:rsidRPr="008C21A9" w:rsidRDefault="00D02AF7" w:rsidP="003564E8">
            <w:pPr>
              <w:pStyle w:val="Default"/>
              <w:jc w:val="both"/>
              <w:rPr>
                <w:sz w:val="20"/>
                <w:szCs w:val="20"/>
                <w:lang w:val="fr-FR"/>
              </w:rPr>
            </w:pPr>
            <w:r w:rsidRPr="008C21A9">
              <w:rPr>
                <w:sz w:val="20"/>
                <w:szCs w:val="20"/>
                <w:lang w:val="fr-FR"/>
              </w:rPr>
              <w:t>Ils incluent les coûts ponctuels et les coûts récurrents du PEPP de base.</w:t>
            </w:r>
          </w:p>
        </w:tc>
      </w:tr>
      <w:tr w:rsidR="00D02AF7" w:rsidRPr="0061324A" w:rsidTr="00AD3A49">
        <w:trPr>
          <w:cantSplit/>
        </w:trPr>
        <w:tc>
          <w:tcPr>
            <w:tcW w:w="1696" w:type="dxa"/>
          </w:tcPr>
          <w:p w:rsidR="00D02AF7" w:rsidRPr="008C21A9" w:rsidRDefault="00D02AF7" w:rsidP="00AD3A49">
            <w:pPr>
              <w:pStyle w:val="Default"/>
              <w:rPr>
                <w:sz w:val="20"/>
                <w:szCs w:val="20"/>
                <w:lang w:val="fr-FR"/>
              </w:rPr>
            </w:pPr>
            <w:r w:rsidRPr="008C21A9">
              <w:rPr>
                <w:sz w:val="20"/>
                <w:szCs w:val="20"/>
                <w:lang w:val="fr-FR"/>
              </w:rPr>
              <w:t>C0100/R0010</w:t>
            </w:r>
          </w:p>
        </w:tc>
        <w:tc>
          <w:tcPr>
            <w:tcW w:w="2835" w:type="dxa"/>
            <w:noWrap/>
          </w:tcPr>
          <w:p w:rsidR="00D02AF7" w:rsidRPr="008C21A9" w:rsidRDefault="00D02AF7" w:rsidP="00AD3A49">
            <w:pPr>
              <w:pStyle w:val="Default"/>
              <w:rPr>
                <w:sz w:val="20"/>
                <w:szCs w:val="20"/>
                <w:lang w:val="fr-FR"/>
              </w:rPr>
            </w:pPr>
            <w:r w:rsidRPr="008C21A9">
              <w:rPr>
                <w:sz w:val="20"/>
                <w:szCs w:val="20"/>
                <w:lang w:val="fr-FR"/>
              </w:rPr>
              <w:t>Coût des éventuelles garanties du capital du PEPP de base</w:t>
            </w:r>
          </w:p>
        </w:tc>
        <w:tc>
          <w:tcPr>
            <w:tcW w:w="4531" w:type="dxa"/>
          </w:tcPr>
          <w:p w:rsidR="00D02AF7" w:rsidRPr="008C21A9" w:rsidRDefault="00D02AF7" w:rsidP="00AD3A49">
            <w:pPr>
              <w:pStyle w:val="Default"/>
              <w:rPr>
                <w:sz w:val="20"/>
                <w:szCs w:val="20"/>
                <w:lang w:val="fr-FR"/>
              </w:rPr>
            </w:pPr>
            <w:r w:rsidRPr="008C21A9">
              <w:rPr>
                <w:sz w:val="20"/>
                <w:szCs w:val="20"/>
                <w:lang w:val="fr-FR"/>
              </w:rPr>
              <w:t>Montant total des frais de garantie du capital du PEPP facturés durant la période de référence.</w:t>
            </w:r>
          </w:p>
          <w:p w:rsidR="00D02AF7" w:rsidRPr="008C21A9" w:rsidRDefault="00D02AF7" w:rsidP="00AD3A49">
            <w:pPr>
              <w:pStyle w:val="Default"/>
              <w:rPr>
                <w:sz w:val="20"/>
                <w:szCs w:val="20"/>
                <w:lang w:val="fr-FR"/>
              </w:rPr>
            </w:pPr>
            <w:r w:rsidRPr="008C21A9">
              <w:rPr>
                <w:sz w:val="20"/>
                <w:szCs w:val="20"/>
                <w:lang w:val="fr-FR"/>
              </w:rPr>
              <w:t>Ce montant inclut les coûts ponctuels et les coûts récurrents du PEPP de base.</w:t>
            </w:r>
          </w:p>
        </w:tc>
      </w:tr>
      <w:tr w:rsidR="00D02AF7" w:rsidRPr="0061324A" w:rsidTr="00AD3A49">
        <w:trPr>
          <w:cantSplit/>
        </w:trPr>
        <w:tc>
          <w:tcPr>
            <w:tcW w:w="1696" w:type="dxa"/>
          </w:tcPr>
          <w:p w:rsidR="00D02AF7" w:rsidRPr="008C21A9" w:rsidRDefault="00D02AF7" w:rsidP="00AD3A49">
            <w:pPr>
              <w:pStyle w:val="Default"/>
              <w:rPr>
                <w:sz w:val="20"/>
                <w:szCs w:val="20"/>
                <w:lang w:val="fr-FR"/>
              </w:rPr>
            </w:pPr>
            <w:r>
              <w:rPr>
                <w:sz w:val="20"/>
                <w:szCs w:val="20"/>
                <w:lang w:val="fr-FR"/>
              </w:rPr>
              <w:t>C</w:t>
            </w:r>
            <w:r w:rsidRPr="006247DC">
              <w:rPr>
                <w:sz w:val="20"/>
                <w:szCs w:val="20"/>
                <w:lang w:val="fr-FR"/>
              </w:rPr>
              <w:t>0020/R0040</w:t>
            </w:r>
          </w:p>
        </w:tc>
        <w:tc>
          <w:tcPr>
            <w:tcW w:w="2835" w:type="dxa"/>
            <w:noWrap/>
          </w:tcPr>
          <w:p w:rsidR="00D02AF7" w:rsidRPr="00DA3681" w:rsidRDefault="00D02AF7" w:rsidP="00AD3A49">
            <w:pPr>
              <w:pStyle w:val="Default"/>
              <w:rPr>
                <w:sz w:val="20"/>
                <w:szCs w:val="20"/>
                <w:lang w:val="fr-FR"/>
              </w:rPr>
            </w:pPr>
            <w:r w:rsidRPr="006247DC">
              <w:rPr>
                <w:sz w:val="20"/>
                <w:szCs w:val="20"/>
                <w:lang w:val="fr-FR"/>
              </w:rPr>
              <w:t>Coûts administratifs des autres options d’investissement</w:t>
            </w:r>
          </w:p>
        </w:tc>
        <w:tc>
          <w:tcPr>
            <w:tcW w:w="4531" w:type="dxa"/>
          </w:tcPr>
          <w:p w:rsidR="00D02AF7" w:rsidRPr="006247DC" w:rsidRDefault="00D02AF7" w:rsidP="003564E8">
            <w:pPr>
              <w:pStyle w:val="Default"/>
              <w:jc w:val="both"/>
              <w:rPr>
                <w:sz w:val="20"/>
                <w:szCs w:val="20"/>
                <w:lang w:val="fr-FR"/>
              </w:rPr>
            </w:pPr>
            <w:r w:rsidRPr="006247DC">
              <w:rPr>
                <w:sz w:val="20"/>
                <w:szCs w:val="20"/>
                <w:lang w:val="fr-FR"/>
              </w:rPr>
              <w:t>Montant total des coûts administratifs du PEPP facturés à l’épargnant PEPP sur la période de référence.</w:t>
            </w:r>
          </w:p>
          <w:p w:rsidR="00D02AF7" w:rsidRPr="00DA3681" w:rsidRDefault="00D02AF7" w:rsidP="003564E8">
            <w:pPr>
              <w:pStyle w:val="Default"/>
              <w:jc w:val="both"/>
              <w:rPr>
                <w:sz w:val="20"/>
                <w:szCs w:val="20"/>
                <w:lang w:val="fr-FR"/>
              </w:rPr>
            </w:pPr>
            <w:r w:rsidRPr="006247DC">
              <w:rPr>
                <w:sz w:val="20"/>
                <w:szCs w:val="20"/>
                <w:lang w:val="fr-FR"/>
              </w:rPr>
              <w:t>Ce montant inclut les coûts ponctuels et les coûts récurrents des autres options d’investissement.</w:t>
            </w:r>
          </w:p>
        </w:tc>
      </w:tr>
      <w:tr w:rsidR="00D02AF7" w:rsidRPr="0061324A" w:rsidTr="00AD3A49">
        <w:trPr>
          <w:cantSplit/>
        </w:trPr>
        <w:tc>
          <w:tcPr>
            <w:tcW w:w="1696" w:type="dxa"/>
          </w:tcPr>
          <w:p w:rsidR="00D02AF7" w:rsidRPr="006247DC" w:rsidRDefault="00D02AF7" w:rsidP="00AD3A49">
            <w:pPr>
              <w:pStyle w:val="Default"/>
              <w:rPr>
                <w:sz w:val="20"/>
                <w:szCs w:val="20"/>
                <w:lang w:val="fr-FR"/>
              </w:rPr>
            </w:pPr>
            <w:r w:rsidRPr="006247DC">
              <w:rPr>
                <w:sz w:val="20"/>
                <w:szCs w:val="20"/>
                <w:lang w:val="fr-FR"/>
              </w:rPr>
              <w:t>C0040/R0040</w:t>
            </w:r>
          </w:p>
        </w:tc>
        <w:tc>
          <w:tcPr>
            <w:tcW w:w="2835" w:type="dxa"/>
            <w:noWrap/>
          </w:tcPr>
          <w:p w:rsidR="00D02AF7" w:rsidRPr="00DA3681" w:rsidRDefault="00D02AF7" w:rsidP="00AD3A49">
            <w:pPr>
              <w:pStyle w:val="Default"/>
              <w:rPr>
                <w:sz w:val="20"/>
                <w:szCs w:val="20"/>
                <w:lang w:val="fr-FR"/>
              </w:rPr>
            </w:pPr>
            <w:r w:rsidRPr="006247DC">
              <w:rPr>
                <w:sz w:val="20"/>
                <w:szCs w:val="20"/>
                <w:lang w:val="fr-FR"/>
              </w:rPr>
              <w:t>Coûts de distribution des autres options d’investissement</w:t>
            </w:r>
          </w:p>
        </w:tc>
        <w:tc>
          <w:tcPr>
            <w:tcW w:w="4531" w:type="dxa"/>
          </w:tcPr>
          <w:p w:rsidR="00D02AF7" w:rsidRPr="006247DC" w:rsidRDefault="00D02AF7" w:rsidP="00AD3A49">
            <w:pPr>
              <w:pStyle w:val="Default"/>
              <w:rPr>
                <w:sz w:val="20"/>
                <w:szCs w:val="20"/>
                <w:lang w:val="fr-FR"/>
              </w:rPr>
            </w:pPr>
            <w:r w:rsidRPr="006247DC">
              <w:rPr>
                <w:sz w:val="20"/>
                <w:szCs w:val="20"/>
                <w:lang w:val="fr-FR"/>
              </w:rPr>
              <w:t>Montant total des coûts liés à la distribution du PEPP.</w:t>
            </w:r>
          </w:p>
          <w:p w:rsidR="00D02AF7" w:rsidRPr="00DA3681" w:rsidRDefault="00D02AF7" w:rsidP="00AD3A49">
            <w:pPr>
              <w:pStyle w:val="Default"/>
              <w:rPr>
                <w:sz w:val="20"/>
                <w:szCs w:val="20"/>
                <w:lang w:val="fr-FR"/>
              </w:rPr>
            </w:pPr>
            <w:r w:rsidRPr="006247DC">
              <w:rPr>
                <w:sz w:val="20"/>
                <w:szCs w:val="20"/>
                <w:lang w:val="fr-FR"/>
              </w:rPr>
              <w:t>Ce montant inclut les coûts ponctuels et les coûts récurrents des autres options d’investissement.</w:t>
            </w:r>
          </w:p>
        </w:tc>
      </w:tr>
      <w:tr w:rsidR="00D02AF7" w:rsidRPr="0061324A" w:rsidTr="00AD3A49">
        <w:trPr>
          <w:cantSplit/>
        </w:trPr>
        <w:tc>
          <w:tcPr>
            <w:tcW w:w="1696" w:type="dxa"/>
          </w:tcPr>
          <w:p w:rsidR="00D02AF7" w:rsidRPr="006247DC" w:rsidRDefault="00D02AF7" w:rsidP="00AD3A49">
            <w:pPr>
              <w:pStyle w:val="Default"/>
              <w:rPr>
                <w:sz w:val="20"/>
                <w:szCs w:val="20"/>
                <w:lang w:val="fr-FR"/>
              </w:rPr>
            </w:pPr>
            <w:r w:rsidRPr="006247DC">
              <w:rPr>
                <w:sz w:val="20"/>
                <w:szCs w:val="20"/>
                <w:lang w:val="fr-FR"/>
              </w:rPr>
              <w:t>C0050/R0040</w:t>
            </w:r>
          </w:p>
        </w:tc>
        <w:tc>
          <w:tcPr>
            <w:tcW w:w="2835" w:type="dxa"/>
            <w:noWrap/>
          </w:tcPr>
          <w:p w:rsidR="00D02AF7" w:rsidRPr="00DA3681" w:rsidRDefault="00D02AF7" w:rsidP="00AD3A49">
            <w:pPr>
              <w:pStyle w:val="Default"/>
              <w:rPr>
                <w:sz w:val="20"/>
                <w:szCs w:val="20"/>
                <w:lang w:val="fr-FR"/>
              </w:rPr>
            </w:pPr>
            <w:r w:rsidRPr="006247DC">
              <w:rPr>
                <w:sz w:val="20"/>
                <w:szCs w:val="20"/>
                <w:lang w:val="fr-FR"/>
              </w:rPr>
              <w:t>Coûts des services de conseil sur les autres options d’investissement</w:t>
            </w:r>
          </w:p>
        </w:tc>
        <w:tc>
          <w:tcPr>
            <w:tcW w:w="4531" w:type="dxa"/>
          </w:tcPr>
          <w:p w:rsidR="00D02AF7" w:rsidRPr="006247DC" w:rsidRDefault="00D02AF7" w:rsidP="00AD3A49">
            <w:pPr>
              <w:pStyle w:val="Default"/>
              <w:rPr>
                <w:sz w:val="20"/>
                <w:szCs w:val="20"/>
                <w:lang w:val="fr-FR"/>
              </w:rPr>
            </w:pPr>
            <w:r w:rsidRPr="006247DC">
              <w:rPr>
                <w:sz w:val="20"/>
                <w:szCs w:val="20"/>
                <w:lang w:val="fr-FR"/>
              </w:rPr>
              <w:t>Montant total des coûts des services de conseil sur le PEPP facturés durant la période de référence.</w:t>
            </w:r>
          </w:p>
          <w:p w:rsidR="00D02AF7" w:rsidRPr="00DA3681" w:rsidRDefault="00D02AF7" w:rsidP="00AD3A49">
            <w:pPr>
              <w:pStyle w:val="Default"/>
              <w:rPr>
                <w:sz w:val="20"/>
                <w:szCs w:val="20"/>
                <w:lang w:val="fr-FR"/>
              </w:rPr>
            </w:pPr>
            <w:r w:rsidRPr="006247DC">
              <w:rPr>
                <w:sz w:val="20"/>
                <w:szCs w:val="20"/>
                <w:lang w:val="fr-FR"/>
              </w:rPr>
              <w:t>Ce montant inclut les coûts ponctuels et les coûts récurrents des autres options d’investissement.</w:t>
            </w:r>
          </w:p>
        </w:tc>
      </w:tr>
      <w:tr w:rsidR="00D02AF7" w:rsidRPr="0061324A" w:rsidTr="00AD3A49">
        <w:trPr>
          <w:cantSplit/>
        </w:trPr>
        <w:tc>
          <w:tcPr>
            <w:tcW w:w="1696" w:type="dxa"/>
          </w:tcPr>
          <w:p w:rsidR="00D02AF7" w:rsidRPr="006247DC" w:rsidRDefault="00D02AF7" w:rsidP="00AD3A49">
            <w:pPr>
              <w:pStyle w:val="Default"/>
              <w:rPr>
                <w:sz w:val="20"/>
                <w:szCs w:val="20"/>
                <w:lang w:val="fr-FR"/>
              </w:rPr>
            </w:pPr>
            <w:r w:rsidRPr="006247DC">
              <w:rPr>
                <w:sz w:val="20"/>
                <w:szCs w:val="20"/>
                <w:lang w:val="fr-FR"/>
              </w:rPr>
              <w:t>C0060/R0040</w:t>
            </w:r>
          </w:p>
        </w:tc>
        <w:tc>
          <w:tcPr>
            <w:tcW w:w="2835" w:type="dxa"/>
            <w:noWrap/>
          </w:tcPr>
          <w:p w:rsidR="00D02AF7" w:rsidRPr="006247DC" w:rsidRDefault="00D02AF7" w:rsidP="00AD3A49">
            <w:pPr>
              <w:pStyle w:val="Default"/>
              <w:rPr>
                <w:sz w:val="20"/>
                <w:szCs w:val="20"/>
                <w:lang w:val="fr-FR"/>
              </w:rPr>
            </w:pPr>
            <w:r w:rsidRPr="006247DC">
              <w:rPr>
                <w:sz w:val="20"/>
                <w:szCs w:val="20"/>
                <w:lang w:val="fr-FR"/>
              </w:rPr>
              <w:t>Coûts d’investissement des autres options d’investissement</w:t>
            </w:r>
          </w:p>
        </w:tc>
        <w:tc>
          <w:tcPr>
            <w:tcW w:w="4531" w:type="dxa"/>
          </w:tcPr>
          <w:p w:rsidR="00D02AF7" w:rsidRPr="006247DC" w:rsidRDefault="00D02AF7" w:rsidP="00AD3A49">
            <w:pPr>
              <w:pStyle w:val="Default"/>
              <w:rPr>
                <w:sz w:val="20"/>
                <w:szCs w:val="20"/>
                <w:lang w:val="fr-FR"/>
              </w:rPr>
            </w:pPr>
            <w:r w:rsidRPr="006247DC">
              <w:rPr>
                <w:sz w:val="20"/>
                <w:szCs w:val="20"/>
                <w:lang w:val="fr-FR"/>
              </w:rPr>
              <w:t>Montant total des coûts d’investissement liés au PEPP facturés durant la période de référence. Ces coûts couvrent les frais liés à la conservation d’actifs, les activités découlant de l’exécution d’opérations et les autres coûts liés aux activités d’investissement, mais ne relevant pas de ces deux catégories.</w:t>
            </w:r>
          </w:p>
          <w:p w:rsidR="00D02AF7" w:rsidRPr="00DA3681" w:rsidRDefault="00D02AF7" w:rsidP="00AD3A49">
            <w:pPr>
              <w:pStyle w:val="Default"/>
              <w:rPr>
                <w:sz w:val="20"/>
                <w:szCs w:val="20"/>
                <w:lang w:val="fr-FR"/>
              </w:rPr>
            </w:pPr>
            <w:r w:rsidRPr="006247DC">
              <w:rPr>
                <w:sz w:val="20"/>
                <w:szCs w:val="20"/>
                <w:lang w:val="fr-FR"/>
              </w:rPr>
              <w:t>Ils incluent les coûts ponctuels et les coûts récurrents des autres options d’investissement.</w:t>
            </w:r>
          </w:p>
        </w:tc>
      </w:tr>
      <w:tr w:rsidR="00D02AF7" w:rsidRPr="0061324A" w:rsidTr="00AD3A49">
        <w:trPr>
          <w:cantSplit/>
        </w:trPr>
        <w:tc>
          <w:tcPr>
            <w:tcW w:w="9062" w:type="dxa"/>
            <w:gridSpan w:val="3"/>
          </w:tcPr>
          <w:p w:rsidR="00D02AF7" w:rsidRPr="00385B6A" w:rsidRDefault="00D02AF7" w:rsidP="00AD3A49">
            <w:pPr>
              <w:pStyle w:val="Default"/>
              <w:rPr>
                <w:b/>
                <w:sz w:val="20"/>
                <w:szCs w:val="20"/>
                <w:lang w:val="fr-FR"/>
              </w:rPr>
            </w:pPr>
            <w:r w:rsidRPr="00385B6A">
              <w:rPr>
                <w:b/>
                <w:sz w:val="20"/>
                <w:szCs w:val="20"/>
                <w:lang w:val="fr-FR"/>
              </w:rPr>
              <w:t>Informations sur le PEPP et l’épargnant PEPP</w:t>
            </w:r>
          </w:p>
        </w:tc>
      </w:tr>
      <w:tr w:rsidR="00D02AF7" w:rsidRPr="0061324A" w:rsidTr="00AD3A49">
        <w:trPr>
          <w:cantSplit/>
        </w:trPr>
        <w:tc>
          <w:tcPr>
            <w:tcW w:w="1696" w:type="dxa"/>
          </w:tcPr>
          <w:p w:rsidR="00D02AF7" w:rsidRPr="006247DC" w:rsidRDefault="00D02AF7" w:rsidP="00AD3A49">
            <w:pPr>
              <w:pStyle w:val="Default"/>
              <w:rPr>
                <w:sz w:val="20"/>
                <w:szCs w:val="20"/>
                <w:lang w:val="fr-FR"/>
              </w:rPr>
            </w:pPr>
            <w:r w:rsidRPr="008C21A9">
              <w:rPr>
                <w:sz w:val="20"/>
                <w:szCs w:val="20"/>
                <w:lang w:val="fr-FR"/>
              </w:rPr>
              <w:t xml:space="preserve">Z0010 </w:t>
            </w:r>
          </w:p>
        </w:tc>
        <w:tc>
          <w:tcPr>
            <w:tcW w:w="2835" w:type="dxa"/>
            <w:noWrap/>
          </w:tcPr>
          <w:p w:rsidR="00D02AF7" w:rsidRPr="0034595E" w:rsidRDefault="00D02AF7" w:rsidP="00AD3A49">
            <w:pPr>
              <w:pStyle w:val="Default"/>
              <w:rPr>
                <w:sz w:val="20"/>
                <w:szCs w:val="20"/>
                <w:lang w:val="fr-FR"/>
              </w:rPr>
            </w:pPr>
            <w:r w:rsidRPr="008C21A9">
              <w:rPr>
                <w:sz w:val="20"/>
                <w:szCs w:val="20"/>
                <w:lang w:val="fr-FR"/>
              </w:rPr>
              <w:t>Numéro d’enregistrement du PEPP</w:t>
            </w:r>
          </w:p>
        </w:tc>
        <w:tc>
          <w:tcPr>
            <w:tcW w:w="4531" w:type="dxa"/>
          </w:tcPr>
          <w:p w:rsidR="00D02AF7" w:rsidRPr="0034595E" w:rsidRDefault="00D02AF7" w:rsidP="00AD3A49">
            <w:pPr>
              <w:pStyle w:val="Default"/>
              <w:rPr>
                <w:sz w:val="20"/>
                <w:szCs w:val="20"/>
                <w:lang w:val="fr-FR"/>
              </w:rPr>
            </w:pPr>
            <w:r w:rsidRPr="008C21A9">
              <w:rPr>
                <w:sz w:val="20"/>
                <w:szCs w:val="20"/>
                <w:lang w:val="fr-FR"/>
              </w:rPr>
              <w:t>Numéro d’enregistrement du PEPP attribué par l’AEAPP.</w:t>
            </w:r>
          </w:p>
        </w:tc>
      </w:tr>
      <w:tr w:rsidR="00D02AF7" w:rsidRPr="0061324A" w:rsidTr="00AD3A49">
        <w:trPr>
          <w:cantSplit/>
        </w:trPr>
        <w:tc>
          <w:tcPr>
            <w:tcW w:w="1696" w:type="dxa"/>
          </w:tcPr>
          <w:p w:rsidR="00D02AF7" w:rsidRPr="006247DC" w:rsidRDefault="00D02AF7" w:rsidP="00AD3A49">
            <w:pPr>
              <w:pStyle w:val="Default"/>
              <w:rPr>
                <w:sz w:val="20"/>
                <w:szCs w:val="20"/>
                <w:lang w:val="fr-FR"/>
              </w:rPr>
            </w:pPr>
            <w:r>
              <w:rPr>
                <w:sz w:val="20"/>
                <w:szCs w:val="20"/>
                <w:lang w:val="fr-FR"/>
              </w:rPr>
              <w:t>Z0020</w:t>
            </w:r>
          </w:p>
        </w:tc>
        <w:tc>
          <w:tcPr>
            <w:tcW w:w="2835" w:type="dxa"/>
            <w:noWrap/>
          </w:tcPr>
          <w:p w:rsidR="00D02AF7" w:rsidRPr="00DA3681" w:rsidRDefault="00D02AF7" w:rsidP="00AD3A49">
            <w:pPr>
              <w:pStyle w:val="Default"/>
              <w:rPr>
                <w:sz w:val="20"/>
                <w:szCs w:val="20"/>
                <w:lang w:val="fr-FR"/>
              </w:rPr>
            </w:pPr>
            <w:r>
              <w:rPr>
                <w:sz w:val="20"/>
                <w:szCs w:val="20"/>
                <w:lang w:val="fr-FR"/>
              </w:rPr>
              <w:t>Pays</w:t>
            </w:r>
          </w:p>
        </w:tc>
        <w:tc>
          <w:tcPr>
            <w:tcW w:w="4531" w:type="dxa"/>
          </w:tcPr>
          <w:p w:rsidR="00D02AF7" w:rsidRPr="00DA3681" w:rsidRDefault="00D02AF7" w:rsidP="00AD3A49">
            <w:pPr>
              <w:pStyle w:val="Default"/>
              <w:rPr>
                <w:sz w:val="20"/>
                <w:szCs w:val="20"/>
                <w:lang w:val="fr-FR"/>
              </w:rPr>
            </w:pPr>
            <w:r w:rsidRPr="00327E3C">
              <w:rPr>
                <w:sz w:val="20"/>
                <w:szCs w:val="20"/>
                <w:lang w:val="fr-FR"/>
              </w:rPr>
              <w:t xml:space="preserve">Code ISO 3166-1 alpha-2 de l’État membre d’origine ou d’accueil du PEPP. Cette information est à fournir pour chaque pays dans lequel un </w:t>
            </w:r>
            <w:proofErr w:type="spellStart"/>
            <w:r w:rsidRPr="00327E3C">
              <w:rPr>
                <w:sz w:val="20"/>
                <w:szCs w:val="20"/>
                <w:lang w:val="fr-FR"/>
              </w:rPr>
              <w:t>sous-compte</w:t>
            </w:r>
            <w:proofErr w:type="spellEnd"/>
            <w:r w:rsidRPr="00327E3C">
              <w:rPr>
                <w:sz w:val="20"/>
                <w:szCs w:val="20"/>
                <w:lang w:val="fr-FR"/>
              </w:rPr>
              <w:t xml:space="preserve"> est disponible ou dans lequel est proposé le PEPP.</w:t>
            </w:r>
          </w:p>
        </w:tc>
      </w:tr>
      <w:tr w:rsidR="00D02AF7" w:rsidRPr="0061324A" w:rsidTr="00AD3A49">
        <w:trPr>
          <w:cantSplit/>
        </w:trPr>
        <w:tc>
          <w:tcPr>
            <w:tcW w:w="1696" w:type="dxa"/>
          </w:tcPr>
          <w:p w:rsidR="00D02AF7" w:rsidRPr="006247DC" w:rsidRDefault="00D02AF7" w:rsidP="00AD3A49">
            <w:pPr>
              <w:pStyle w:val="Default"/>
              <w:rPr>
                <w:sz w:val="20"/>
                <w:szCs w:val="20"/>
                <w:lang w:val="fr-FR"/>
              </w:rPr>
            </w:pPr>
            <w:r w:rsidRPr="00327E3C">
              <w:rPr>
                <w:sz w:val="20"/>
                <w:szCs w:val="20"/>
                <w:lang w:val="fr-FR"/>
              </w:rPr>
              <w:t>C0150/R0020</w:t>
            </w:r>
          </w:p>
        </w:tc>
        <w:tc>
          <w:tcPr>
            <w:tcW w:w="2835" w:type="dxa"/>
            <w:noWrap/>
          </w:tcPr>
          <w:p w:rsidR="00D02AF7" w:rsidRPr="00DA3681" w:rsidRDefault="00D02AF7" w:rsidP="00AD3A49">
            <w:pPr>
              <w:pStyle w:val="Default"/>
              <w:rPr>
                <w:sz w:val="20"/>
                <w:szCs w:val="20"/>
                <w:lang w:val="fr-FR"/>
              </w:rPr>
            </w:pPr>
            <w:r w:rsidRPr="00327E3C">
              <w:rPr>
                <w:sz w:val="20"/>
                <w:szCs w:val="20"/>
                <w:lang w:val="fr-FR"/>
              </w:rPr>
              <w:t>Nombre d’épargnants affiliés au PEPP de base commercialisé dans le pays</w:t>
            </w:r>
          </w:p>
        </w:tc>
        <w:tc>
          <w:tcPr>
            <w:tcW w:w="4531" w:type="dxa"/>
          </w:tcPr>
          <w:p w:rsidR="00D02AF7" w:rsidRPr="00DA3681" w:rsidRDefault="00D02AF7" w:rsidP="00AD3A49">
            <w:pPr>
              <w:pStyle w:val="Default"/>
              <w:rPr>
                <w:sz w:val="20"/>
                <w:szCs w:val="20"/>
                <w:lang w:val="fr-FR"/>
              </w:rPr>
            </w:pPr>
            <w:r w:rsidRPr="00327E3C">
              <w:rPr>
                <w:sz w:val="20"/>
                <w:szCs w:val="20"/>
                <w:lang w:val="fr-FR"/>
              </w:rPr>
              <w:t>Nombre d’épargnants affiliés au PEPP de base commercialisé dans le pays.</w:t>
            </w:r>
          </w:p>
        </w:tc>
      </w:tr>
      <w:tr w:rsidR="00D02AF7" w:rsidRPr="0061324A" w:rsidTr="00AD3A49">
        <w:trPr>
          <w:cantSplit/>
        </w:trPr>
        <w:tc>
          <w:tcPr>
            <w:tcW w:w="1696" w:type="dxa"/>
          </w:tcPr>
          <w:p w:rsidR="00D02AF7" w:rsidRPr="006247DC" w:rsidRDefault="00D02AF7" w:rsidP="00AD3A49">
            <w:pPr>
              <w:pStyle w:val="Default"/>
              <w:rPr>
                <w:sz w:val="20"/>
                <w:szCs w:val="20"/>
                <w:lang w:val="fr-FR"/>
              </w:rPr>
            </w:pPr>
            <w:r w:rsidRPr="00327E3C">
              <w:rPr>
                <w:sz w:val="20"/>
                <w:szCs w:val="20"/>
                <w:lang w:val="fr-FR"/>
              </w:rPr>
              <w:t>C0160/R0020</w:t>
            </w:r>
          </w:p>
        </w:tc>
        <w:tc>
          <w:tcPr>
            <w:tcW w:w="2835" w:type="dxa"/>
            <w:noWrap/>
          </w:tcPr>
          <w:p w:rsidR="00D02AF7" w:rsidRPr="006247DC" w:rsidRDefault="00D02AF7" w:rsidP="00AD3A49">
            <w:pPr>
              <w:pStyle w:val="Default"/>
              <w:rPr>
                <w:sz w:val="20"/>
                <w:szCs w:val="20"/>
                <w:lang w:val="fr-FR"/>
              </w:rPr>
            </w:pPr>
            <w:r w:rsidRPr="00327E3C">
              <w:rPr>
                <w:sz w:val="20"/>
                <w:szCs w:val="20"/>
                <w:lang w:val="fr-FR"/>
              </w:rPr>
              <w:t>Total des cotisations brutes reçues pour le PEPP de base commercialisé dans le pays</w:t>
            </w:r>
          </w:p>
        </w:tc>
        <w:tc>
          <w:tcPr>
            <w:tcW w:w="4531" w:type="dxa"/>
          </w:tcPr>
          <w:p w:rsidR="00D02AF7" w:rsidRPr="00DA3681" w:rsidRDefault="00D02AF7" w:rsidP="00AD3A49">
            <w:pPr>
              <w:pStyle w:val="Default"/>
              <w:rPr>
                <w:sz w:val="20"/>
                <w:szCs w:val="20"/>
                <w:lang w:val="fr-FR"/>
              </w:rPr>
            </w:pPr>
            <w:r w:rsidRPr="00327E3C">
              <w:rPr>
                <w:sz w:val="20"/>
                <w:szCs w:val="20"/>
                <w:lang w:val="fr-FR"/>
              </w:rPr>
              <w:t>Montant total des cotisations versées durant la période de référence par les épargnants affiliés au PEPP de base commercialisé dans le pays.</w:t>
            </w:r>
          </w:p>
        </w:tc>
      </w:tr>
      <w:tr w:rsidR="00D02AF7" w:rsidRPr="0061324A" w:rsidTr="00AD3A49">
        <w:trPr>
          <w:cantSplit/>
        </w:trPr>
        <w:tc>
          <w:tcPr>
            <w:tcW w:w="1696" w:type="dxa"/>
          </w:tcPr>
          <w:p w:rsidR="00D02AF7" w:rsidRPr="00DA3681" w:rsidRDefault="00D02AF7" w:rsidP="00AD3A49">
            <w:pPr>
              <w:pStyle w:val="Default"/>
              <w:rPr>
                <w:sz w:val="20"/>
                <w:szCs w:val="20"/>
                <w:lang w:val="fr-FR"/>
              </w:rPr>
            </w:pPr>
            <w:r w:rsidRPr="00327E3C">
              <w:rPr>
                <w:sz w:val="20"/>
                <w:szCs w:val="20"/>
                <w:lang w:val="fr-FR"/>
              </w:rPr>
              <w:t>C0170/R0020</w:t>
            </w:r>
          </w:p>
        </w:tc>
        <w:tc>
          <w:tcPr>
            <w:tcW w:w="2835" w:type="dxa"/>
            <w:noWrap/>
          </w:tcPr>
          <w:p w:rsidR="00D02AF7" w:rsidRPr="00DA3681" w:rsidRDefault="00D02AF7" w:rsidP="00AD3A49">
            <w:pPr>
              <w:pStyle w:val="Default"/>
              <w:rPr>
                <w:sz w:val="20"/>
                <w:szCs w:val="20"/>
                <w:lang w:val="fr-FR"/>
              </w:rPr>
            </w:pPr>
            <w:r w:rsidRPr="00327E3C">
              <w:rPr>
                <w:sz w:val="20"/>
                <w:szCs w:val="20"/>
                <w:lang w:val="fr-FR"/>
              </w:rPr>
              <w:t>Rendement brut total des investissements pour le PEPP de base commercialisé dans le pays</w:t>
            </w:r>
          </w:p>
        </w:tc>
        <w:tc>
          <w:tcPr>
            <w:tcW w:w="4531" w:type="dxa"/>
          </w:tcPr>
          <w:p w:rsidR="00D02AF7" w:rsidRPr="00DA3681" w:rsidRDefault="00D02AF7" w:rsidP="00AD3A49">
            <w:pPr>
              <w:pStyle w:val="Default"/>
              <w:rPr>
                <w:sz w:val="20"/>
                <w:szCs w:val="20"/>
                <w:lang w:val="fr-FR"/>
              </w:rPr>
            </w:pPr>
            <w:r w:rsidRPr="00327E3C">
              <w:rPr>
                <w:sz w:val="20"/>
                <w:szCs w:val="20"/>
                <w:lang w:val="fr-FR"/>
              </w:rPr>
              <w:t>Montant total des rendements bruts d’investissements alloués aux épargnants. Il s’agit du montant brut, avant déduction des coûts d’investissement du PEPP de base commercialisé dans le pays.</w:t>
            </w:r>
          </w:p>
        </w:tc>
      </w:tr>
      <w:tr w:rsidR="00D02AF7" w:rsidRPr="0061324A" w:rsidTr="00AD3A49">
        <w:trPr>
          <w:cantSplit/>
        </w:trPr>
        <w:tc>
          <w:tcPr>
            <w:tcW w:w="1696" w:type="dxa"/>
          </w:tcPr>
          <w:p w:rsidR="00D02AF7" w:rsidRPr="006247DC" w:rsidRDefault="00D02AF7" w:rsidP="00AD3A49">
            <w:pPr>
              <w:pStyle w:val="Default"/>
              <w:rPr>
                <w:sz w:val="20"/>
                <w:szCs w:val="20"/>
                <w:lang w:val="fr-FR"/>
              </w:rPr>
            </w:pPr>
            <w:r w:rsidRPr="00327E3C">
              <w:rPr>
                <w:sz w:val="20"/>
                <w:szCs w:val="20"/>
                <w:lang w:val="fr-FR"/>
              </w:rPr>
              <w:t>C0190/R0020</w:t>
            </w:r>
          </w:p>
        </w:tc>
        <w:tc>
          <w:tcPr>
            <w:tcW w:w="2835" w:type="dxa"/>
            <w:noWrap/>
          </w:tcPr>
          <w:p w:rsidR="00D02AF7" w:rsidRPr="006247DC" w:rsidRDefault="00D02AF7" w:rsidP="00AD3A49">
            <w:pPr>
              <w:pStyle w:val="Default"/>
              <w:rPr>
                <w:sz w:val="20"/>
                <w:szCs w:val="20"/>
                <w:lang w:val="fr-FR"/>
              </w:rPr>
            </w:pPr>
            <w:r w:rsidRPr="00327E3C">
              <w:rPr>
                <w:sz w:val="20"/>
                <w:szCs w:val="20"/>
                <w:lang w:val="fr-FR"/>
              </w:rPr>
              <w:t>Montant total des prestations versées au titre du PEPP de base commercialisé dans le pays</w:t>
            </w:r>
          </w:p>
        </w:tc>
        <w:tc>
          <w:tcPr>
            <w:tcW w:w="4531" w:type="dxa"/>
          </w:tcPr>
          <w:p w:rsidR="00D02AF7" w:rsidRPr="00F56D15" w:rsidRDefault="00D02AF7" w:rsidP="00AD3A49">
            <w:pPr>
              <w:pStyle w:val="Default"/>
              <w:rPr>
                <w:sz w:val="20"/>
                <w:szCs w:val="20"/>
                <w:lang w:val="fr-FR"/>
              </w:rPr>
            </w:pPr>
            <w:r w:rsidRPr="00327E3C">
              <w:rPr>
                <w:sz w:val="20"/>
                <w:szCs w:val="20"/>
                <w:lang w:val="fr-FR"/>
              </w:rPr>
              <w:t>Montant total des prestations versées durant la période de référence aux épargnants affiliés au PEPP de base commercialisé dans le pays. Ce montant inclut toutes les prestations versées, notamment au titre des risques biométriques et des autres options disponibles pour le produit.</w:t>
            </w:r>
          </w:p>
        </w:tc>
      </w:tr>
      <w:tr w:rsidR="00D02AF7" w:rsidRPr="0061324A" w:rsidTr="00AD3A49">
        <w:trPr>
          <w:cantSplit/>
        </w:trPr>
        <w:tc>
          <w:tcPr>
            <w:tcW w:w="1696" w:type="dxa"/>
          </w:tcPr>
          <w:p w:rsidR="00D02AF7" w:rsidRPr="006247DC" w:rsidRDefault="00D02AF7" w:rsidP="00AD3A49">
            <w:pPr>
              <w:pStyle w:val="Default"/>
              <w:rPr>
                <w:sz w:val="20"/>
                <w:szCs w:val="20"/>
                <w:lang w:val="fr-FR"/>
              </w:rPr>
            </w:pPr>
            <w:r w:rsidRPr="00327E3C">
              <w:rPr>
                <w:sz w:val="20"/>
                <w:szCs w:val="20"/>
                <w:lang w:val="fr-FR"/>
              </w:rPr>
              <w:t>C0200/R0020</w:t>
            </w:r>
          </w:p>
        </w:tc>
        <w:tc>
          <w:tcPr>
            <w:tcW w:w="2835" w:type="dxa"/>
            <w:noWrap/>
          </w:tcPr>
          <w:p w:rsidR="00D02AF7" w:rsidRPr="00F56D15" w:rsidRDefault="00D02AF7" w:rsidP="00AD3A49">
            <w:pPr>
              <w:pStyle w:val="Default"/>
              <w:rPr>
                <w:sz w:val="20"/>
                <w:szCs w:val="20"/>
                <w:lang w:val="fr-FR"/>
              </w:rPr>
            </w:pPr>
            <w:r w:rsidRPr="00327E3C">
              <w:rPr>
                <w:sz w:val="20"/>
                <w:szCs w:val="20"/>
                <w:lang w:val="fr-FR"/>
              </w:rPr>
              <w:t>Prestations de retraite versées au titre du PEPP de base commercialisé dans le pays</w:t>
            </w:r>
          </w:p>
        </w:tc>
        <w:tc>
          <w:tcPr>
            <w:tcW w:w="4531" w:type="dxa"/>
          </w:tcPr>
          <w:p w:rsidR="00D02AF7" w:rsidRPr="00F56D15" w:rsidRDefault="00D02AF7" w:rsidP="00AD3A49">
            <w:pPr>
              <w:pStyle w:val="Default"/>
              <w:rPr>
                <w:sz w:val="20"/>
                <w:szCs w:val="20"/>
                <w:lang w:val="fr-FR"/>
              </w:rPr>
            </w:pPr>
            <w:r w:rsidRPr="00327E3C">
              <w:rPr>
                <w:sz w:val="20"/>
                <w:szCs w:val="20"/>
                <w:lang w:val="fr-FR"/>
              </w:rPr>
              <w:t>Montant des prestations versées durant la période de référence aux épargnants affiliés au PEPP de base commercialisé dans le pays. Ce montant ne comprend que les prestations de retraite.</w:t>
            </w:r>
          </w:p>
        </w:tc>
      </w:tr>
      <w:tr w:rsidR="00D02AF7" w:rsidRPr="0061324A" w:rsidTr="00AD3A49">
        <w:trPr>
          <w:cantSplit/>
        </w:trPr>
        <w:tc>
          <w:tcPr>
            <w:tcW w:w="1696" w:type="dxa"/>
          </w:tcPr>
          <w:p w:rsidR="00D02AF7" w:rsidRPr="006247DC" w:rsidRDefault="00D02AF7" w:rsidP="00AD3A49">
            <w:pPr>
              <w:pStyle w:val="Default"/>
              <w:rPr>
                <w:sz w:val="20"/>
                <w:szCs w:val="20"/>
                <w:lang w:val="fr-FR"/>
              </w:rPr>
            </w:pPr>
            <w:r w:rsidRPr="00327E3C">
              <w:rPr>
                <w:sz w:val="20"/>
                <w:szCs w:val="20"/>
                <w:lang w:val="fr-FR"/>
              </w:rPr>
              <w:lastRenderedPageBreak/>
              <w:t>C0210/R0020</w:t>
            </w:r>
          </w:p>
        </w:tc>
        <w:tc>
          <w:tcPr>
            <w:tcW w:w="2835" w:type="dxa"/>
            <w:noWrap/>
          </w:tcPr>
          <w:p w:rsidR="00D02AF7" w:rsidRPr="00F56D15" w:rsidRDefault="00D02AF7" w:rsidP="00AD3A49">
            <w:pPr>
              <w:pStyle w:val="Default"/>
              <w:rPr>
                <w:sz w:val="20"/>
                <w:szCs w:val="20"/>
                <w:lang w:val="fr-FR"/>
              </w:rPr>
            </w:pPr>
            <w:r w:rsidRPr="00327E3C">
              <w:rPr>
                <w:sz w:val="20"/>
                <w:szCs w:val="20"/>
                <w:lang w:val="fr-FR"/>
              </w:rPr>
              <w:t>Prestations de retraite versées sous forme de rente au titre du PEPP de base commercialisé dans le pays</w:t>
            </w:r>
          </w:p>
        </w:tc>
        <w:tc>
          <w:tcPr>
            <w:tcW w:w="4531" w:type="dxa"/>
          </w:tcPr>
          <w:p w:rsidR="00D02AF7" w:rsidRPr="00F56D15" w:rsidRDefault="00D02AF7" w:rsidP="00AD3A49">
            <w:pPr>
              <w:pStyle w:val="Default"/>
              <w:rPr>
                <w:sz w:val="20"/>
                <w:szCs w:val="20"/>
                <w:lang w:val="fr-FR"/>
              </w:rPr>
            </w:pPr>
            <w:r w:rsidRPr="00327E3C">
              <w:rPr>
                <w:sz w:val="20"/>
                <w:szCs w:val="20"/>
                <w:lang w:val="fr-FR"/>
              </w:rPr>
              <w:t>Montant des prestations versées durant la période de référence aux épargnants affiliés au PEPP de base commercialisé dans le pays. Ce montant ne comprend que les prestations de retraite versées sous forme de rente.</w:t>
            </w:r>
          </w:p>
        </w:tc>
      </w:tr>
      <w:tr w:rsidR="00D02AF7" w:rsidRPr="0061324A" w:rsidTr="00AD3A49">
        <w:trPr>
          <w:cantSplit/>
        </w:trPr>
        <w:tc>
          <w:tcPr>
            <w:tcW w:w="1696" w:type="dxa"/>
          </w:tcPr>
          <w:p w:rsidR="00D02AF7" w:rsidRPr="006247DC" w:rsidRDefault="00D02AF7" w:rsidP="00AD3A49">
            <w:pPr>
              <w:pStyle w:val="Default"/>
              <w:rPr>
                <w:sz w:val="20"/>
                <w:szCs w:val="20"/>
                <w:lang w:val="fr-FR"/>
              </w:rPr>
            </w:pPr>
            <w:r w:rsidRPr="00327E3C">
              <w:rPr>
                <w:sz w:val="20"/>
                <w:szCs w:val="20"/>
                <w:lang w:val="fr-FR"/>
              </w:rPr>
              <w:t>C0220/R0020</w:t>
            </w:r>
          </w:p>
        </w:tc>
        <w:tc>
          <w:tcPr>
            <w:tcW w:w="2835" w:type="dxa"/>
            <w:noWrap/>
          </w:tcPr>
          <w:p w:rsidR="00D02AF7" w:rsidRPr="00F56D15" w:rsidRDefault="00D02AF7" w:rsidP="00AD3A49">
            <w:pPr>
              <w:pStyle w:val="Default"/>
              <w:rPr>
                <w:sz w:val="20"/>
                <w:szCs w:val="20"/>
                <w:lang w:val="fr-FR"/>
              </w:rPr>
            </w:pPr>
            <w:r w:rsidRPr="00327E3C">
              <w:rPr>
                <w:sz w:val="20"/>
                <w:szCs w:val="20"/>
                <w:lang w:val="fr-FR"/>
              </w:rPr>
              <w:t>Prestations de retraite versées sous forme de capital unique au titre du PEPP de base commercialisé dans le pays</w:t>
            </w:r>
          </w:p>
        </w:tc>
        <w:tc>
          <w:tcPr>
            <w:tcW w:w="4531" w:type="dxa"/>
          </w:tcPr>
          <w:p w:rsidR="00D02AF7" w:rsidRPr="00F56D15" w:rsidRDefault="00D02AF7" w:rsidP="00AD3A49">
            <w:pPr>
              <w:pStyle w:val="Default"/>
              <w:rPr>
                <w:sz w:val="20"/>
                <w:szCs w:val="20"/>
                <w:lang w:val="fr-FR"/>
              </w:rPr>
            </w:pPr>
            <w:r w:rsidRPr="00327E3C">
              <w:rPr>
                <w:sz w:val="20"/>
                <w:szCs w:val="20"/>
                <w:lang w:val="fr-FR"/>
              </w:rPr>
              <w:t>Montant des prestations versées durant la période de référence aux épargnants affiliés au PEPP de base commercialisé dans le pays. Ce montant ne comprend que les prestations de retraite versées en une fois.</w:t>
            </w:r>
          </w:p>
        </w:tc>
      </w:tr>
      <w:tr w:rsidR="00D02AF7" w:rsidRPr="0061324A" w:rsidTr="00AD3A49">
        <w:trPr>
          <w:cantSplit/>
        </w:trPr>
        <w:tc>
          <w:tcPr>
            <w:tcW w:w="1696" w:type="dxa"/>
          </w:tcPr>
          <w:p w:rsidR="00D02AF7" w:rsidRPr="00F56D15" w:rsidRDefault="00D02AF7" w:rsidP="00AD3A49">
            <w:pPr>
              <w:pStyle w:val="Default"/>
              <w:rPr>
                <w:sz w:val="20"/>
                <w:szCs w:val="20"/>
                <w:lang w:val="fr-FR"/>
              </w:rPr>
            </w:pPr>
            <w:r w:rsidRPr="00327E3C">
              <w:rPr>
                <w:sz w:val="20"/>
                <w:szCs w:val="20"/>
                <w:lang w:val="fr-FR"/>
              </w:rPr>
              <w:t>C0230/R0020</w:t>
            </w:r>
          </w:p>
        </w:tc>
        <w:tc>
          <w:tcPr>
            <w:tcW w:w="2835" w:type="dxa"/>
            <w:noWrap/>
          </w:tcPr>
          <w:p w:rsidR="00D02AF7" w:rsidRPr="00F56D15" w:rsidRDefault="00D02AF7" w:rsidP="00AD3A49">
            <w:pPr>
              <w:pStyle w:val="Default"/>
              <w:rPr>
                <w:sz w:val="20"/>
                <w:szCs w:val="20"/>
                <w:lang w:val="fr-FR"/>
              </w:rPr>
            </w:pPr>
            <w:r w:rsidRPr="00327E3C">
              <w:rPr>
                <w:sz w:val="20"/>
                <w:szCs w:val="20"/>
                <w:lang w:val="fr-FR"/>
              </w:rPr>
              <w:t>Prestations de retraite perçues sous forme de retraits au titre du PEPP de base commercialisé dans le pays</w:t>
            </w:r>
          </w:p>
        </w:tc>
        <w:tc>
          <w:tcPr>
            <w:tcW w:w="4531" w:type="dxa"/>
          </w:tcPr>
          <w:p w:rsidR="00D02AF7" w:rsidRPr="00F56D15" w:rsidRDefault="00D02AF7" w:rsidP="00AD3A49">
            <w:pPr>
              <w:pStyle w:val="Default"/>
              <w:rPr>
                <w:sz w:val="20"/>
                <w:szCs w:val="20"/>
                <w:lang w:val="fr-FR"/>
              </w:rPr>
            </w:pPr>
            <w:r w:rsidRPr="00327E3C">
              <w:rPr>
                <w:sz w:val="20"/>
                <w:szCs w:val="20"/>
                <w:lang w:val="fr-FR"/>
              </w:rPr>
              <w:t>Montant des prestations versées durant la période de référence aux épargnants affiliés au PEPP de base commercialisé dans le pays. Ce montant ne comprend que les prestations de retraite perçues sous la forme de retraits.</w:t>
            </w:r>
          </w:p>
        </w:tc>
      </w:tr>
      <w:tr w:rsidR="00D02AF7" w:rsidRPr="0061324A" w:rsidTr="00AD3A49">
        <w:trPr>
          <w:cantSplit/>
        </w:trPr>
        <w:tc>
          <w:tcPr>
            <w:tcW w:w="1696" w:type="dxa"/>
          </w:tcPr>
          <w:p w:rsidR="00D02AF7" w:rsidRPr="00F56D15" w:rsidRDefault="00D02AF7" w:rsidP="00AD3A49">
            <w:pPr>
              <w:pStyle w:val="Default"/>
              <w:rPr>
                <w:sz w:val="20"/>
                <w:szCs w:val="20"/>
                <w:lang w:val="fr-FR"/>
              </w:rPr>
            </w:pPr>
            <w:r w:rsidRPr="00327E3C">
              <w:rPr>
                <w:sz w:val="20"/>
                <w:szCs w:val="20"/>
                <w:lang w:val="fr-FR"/>
              </w:rPr>
              <w:t>C0240/R0020</w:t>
            </w:r>
          </w:p>
        </w:tc>
        <w:tc>
          <w:tcPr>
            <w:tcW w:w="2835" w:type="dxa"/>
            <w:noWrap/>
          </w:tcPr>
          <w:p w:rsidR="00D02AF7" w:rsidRPr="00F56D15" w:rsidRDefault="00D02AF7" w:rsidP="00AD3A49">
            <w:pPr>
              <w:pStyle w:val="Default"/>
              <w:rPr>
                <w:sz w:val="20"/>
                <w:szCs w:val="20"/>
                <w:lang w:val="fr-FR"/>
              </w:rPr>
            </w:pPr>
            <w:r w:rsidRPr="00327E3C">
              <w:rPr>
                <w:sz w:val="20"/>
                <w:szCs w:val="20"/>
                <w:lang w:val="fr-FR"/>
              </w:rPr>
              <w:t>Prestations autres que de retraite versées au titre du PEPP de base commercialisé dans le pays</w:t>
            </w:r>
          </w:p>
        </w:tc>
        <w:tc>
          <w:tcPr>
            <w:tcW w:w="4531" w:type="dxa"/>
          </w:tcPr>
          <w:p w:rsidR="00D02AF7" w:rsidRPr="00F56D15" w:rsidRDefault="00D02AF7" w:rsidP="00AD3A49">
            <w:pPr>
              <w:pStyle w:val="Default"/>
              <w:rPr>
                <w:sz w:val="20"/>
                <w:szCs w:val="20"/>
                <w:lang w:val="fr-FR"/>
              </w:rPr>
            </w:pPr>
            <w:r w:rsidRPr="00327E3C">
              <w:rPr>
                <w:sz w:val="20"/>
                <w:szCs w:val="20"/>
                <w:lang w:val="fr-FR"/>
              </w:rPr>
              <w:t>Montant des prestations versées durant la période de référence aux épargnants affiliés au PEPP de base commercialisé dans le pays. Ce montant n’inclut que les prestations liées à la couverture de risques autres que la retraite (risques biométriques et autres options disponibles).</w:t>
            </w:r>
          </w:p>
        </w:tc>
      </w:tr>
      <w:tr w:rsidR="00D02AF7" w:rsidRPr="0061324A" w:rsidTr="00AD3A49">
        <w:trPr>
          <w:cantSplit/>
        </w:trPr>
        <w:tc>
          <w:tcPr>
            <w:tcW w:w="1696" w:type="dxa"/>
          </w:tcPr>
          <w:p w:rsidR="00D02AF7" w:rsidRPr="00F56D15" w:rsidRDefault="00D02AF7" w:rsidP="00AD3A49">
            <w:pPr>
              <w:pStyle w:val="Default"/>
              <w:rPr>
                <w:sz w:val="20"/>
                <w:szCs w:val="20"/>
                <w:lang w:val="fr-FR"/>
              </w:rPr>
            </w:pPr>
            <w:r w:rsidRPr="00327E3C">
              <w:rPr>
                <w:sz w:val="20"/>
                <w:szCs w:val="20"/>
                <w:lang w:val="fr-FR"/>
              </w:rPr>
              <w:t>C0250/R0020</w:t>
            </w:r>
          </w:p>
        </w:tc>
        <w:tc>
          <w:tcPr>
            <w:tcW w:w="2835" w:type="dxa"/>
            <w:noWrap/>
          </w:tcPr>
          <w:p w:rsidR="00D02AF7" w:rsidRPr="00F56D15" w:rsidRDefault="00D02AF7" w:rsidP="00AD3A49">
            <w:pPr>
              <w:pStyle w:val="Default"/>
              <w:rPr>
                <w:sz w:val="20"/>
                <w:szCs w:val="20"/>
                <w:lang w:val="fr-FR"/>
              </w:rPr>
            </w:pPr>
            <w:r w:rsidRPr="00327E3C">
              <w:rPr>
                <w:sz w:val="20"/>
                <w:szCs w:val="20"/>
                <w:lang w:val="fr-FR"/>
              </w:rPr>
              <w:t>Nombre de notifications au titre de l’article 20, paragraphe 1, du règlement (UE) 2019/1238 reçues d’épargnants PEPP qui se sont installés dans un autre État membre, pour le PEPP de base commercialisé dans le pays</w:t>
            </w:r>
          </w:p>
        </w:tc>
        <w:tc>
          <w:tcPr>
            <w:tcW w:w="4531" w:type="dxa"/>
          </w:tcPr>
          <w:p w:rsidR="00D02AF7" w:rsidRPr="00F56D15" w:rsidRDefault="00D02AF7" w:rsidP="00AD3A49">
            <w:pPr>
              <w:pStyle w:val="Default"/>
              <w:rPr>
                <w:sz w:val="20"/>
                <w:szCs w:val="20"/>
                <w:lang w:val="fr-FR"/>
              </w:rPr>
            </w:pPr>
            <w:r w:rsidRPr="00327E3C">
              <w:rPr>
                <w:sz w:val="20"/>
                <w:szCs w:val="20"/>
                <w:lang w:val="fr-FR"/>
              </w:rPr>
              <w:t>Nombre de notifications de changement d’État membre de résidence reçues d’épargnants affiliés au PEPP de base commercialisé dans le pays.</w:t>
            </w:r>
          </w:p>
        </w:tc>
      </w:tr>
      <w:tr w:rsidR="00D02AF7" w:rsidRPr="0061324A" w:rsidTr="00AD3A49">
        <w:trPr>
          <w:cantSplit/>
        </w:trPr>
        <w:tc>
          <w:tcPr>
            <w:tcW w:w="1696" w:type="dxa"/>
          </w:tcPr>
          <w:p w:rsidR="00D02AF7" w:rsidRPr="00F56D15" w:rsidRDefault="00D02AF7" w:rsidP="00AD3A49">
            <w:pPr>
              <w:pStyle w:val="Default"/>
              <w:rPr>
                <w:sz w:val="20"/>
                <w:szCs w:val="20"/>
                <w:lang w:val="fr-FR"/>
              </w:rPr>
            </w:pPr>
            <w:r w:rsidRPr="00327E3C">
              <w:rPr>
                <w:sz w:val="20"/>
                <w:szCs w:val="20"/>
                <w:lang w:val="fr-FR"/>
              </w:rPr>
              <w:t>C0260/R0020</w:t>
            </w:r>
          </w:p>
        </w:tc>
        <w:tc>
          <w:tcPr>
            <w:tcW w:w="2835" w:type="dxa"/>
            <w:noWrap/>
          </w:tcPr>
          <w:p w:rsidR="00D02AF7" w:rsidRPr="00F56D15" w:rsidRDefault="00D02AF7" w:rsidP="00AD3A49">
            <w:pPr>
              <w:pStyle w:val="Default"/>
              <w:rPr>
                <w:sz w:val="20"/>
                <w:szCs w:val="20"/>
                <w:lang w:val="fr-FR"/>
              </w:rPr>
            </w:pPr>
            <w:r w:rsidRPr="00327E3C">
              <w:rPr>
                <w:sz w:val="20"/>
                <w:szCs w:val="20"/>
                <w:lang w:val="fr-FR"/>
              </w:rPr>
              <w:t xml:space="preserve">Nombre de demandes d’ouverture d’un </w:t>
            </w:r>
            <w:proofErr w:type="spellStart"/>
            <w:r w:rsidRPr="00327E3C">
              <w:rPr>
                <w:sz w:val="20"/>
                <w:szCs w:val="20"/>
                <w:lang w:val="fr-FR"/>
              </w:rPr>
              <w:t>sous-compte</w:t>
            </w:r>
            <w:proofErr w:type="spellEnd"/>
            <w:r w:rsidRPr="00327E3C">
              <w:rPr>
                <w:sz w:val="20"/>
                <w:szCs w:val="20"/>
                <w:lang w:val="fr-FR"/>
              </w:rPr>
              <w:t xml:space="preserve"> en vertu de l’article 20, paragraphe 2, du règlement (UE) 2019/1238 pour le PEPP de base commercialisé dans le pays</w:t>
            </w:r>
          </w:p>
        </w:tc>
        <w:tc>
          <w:tcPr>
            <w:tcW w:w="4531" w:type="dxa"/>
          </w:tcPr>
          <w:p w:rsidR="00D02AF7" w:rsidRPr="00F56D15" w:rsidRDefault="00D02AF7" w:rsidP="00AD3A49">
            <w:pPr>
              <w:pStyle w:val="Default"/>
              <w:rPr>
                <w:sz w:val="20"/>
                <w:szCs w:val="20"/>
                <w:lang w:val="fr-FR"/>
              </w:rPr>
            </w:pPr>
            <w:r w:rsidRPr="00327E3C">
              <w:rPr>
                <w:sz w:val="20"/>
                <w:szCs w:val="20"/>
                <w:lang w:val="fr-FR"/>
              </w:rPr>
              <w:t xml:space="preserve">Nombre de demandes d’ouverture d’un nouveau </w:t>
            </w:r>
            <w:proofErr w:type="spellStart"/>
            <w:r w:rsidRPr="00327E3C">
              <w:rPr>
                <w:sz w:val="20"/>
                <w:szCs w:val="20"/>
                <w:lang w:val="fr-FR"/>
              </w:rPr>
              <w:t>sous-compte</w:t>
            </w:r>
            <w:proofErr w:type="spellEnd"/>
            <w:r w:rsidRPr="00327E3C">
              <w:rPr>
                <w:sz w:val="20"/>
                <w:szCs w:val="20"/>
                <w:lang w:val="fr-FR"/>
              </w:rPr>
              <w:t xml:space="preserve"> pour le PEPP de base commercialisé dans le pays reçues d’épargnants qui ont informé le fournisseur de PEPP de leur intention de changer d’État membre de résidence.</w:t>
            </w:r>
          </w:p>
        </w:tc>
      </w:tr>
      <w:tr w:rsidR="00D02AF7" w:rsidRPr="0061324A" w:rsidTr="00AD3A49">
        <w:trPr>
          <w:cantSplit/>
        </w:trPr>
        <w:tc>
          <w:tcPr>
            <w:tcW w:w="1696" w:type="dxa"/>
          </w:tcPr>
          <w:p w:rsidR="00D02AF7" w:rsidRPr="00F56D15" w:rsidRDefault="00D02AF7" w:rsidP="00AD3A49">
            <w:pPr>
              <w:pStyle w:val="Default"/>
              <w:rPr>
                <w:sz w:val="20"/>
                <w:szCs w:val="20"/>
                <w:lang w:val="fr-FR"/>
              </w:rPr>
            </w:pPr>
            <w:r w:rsidRPr="00327E3C">
              <w:rPr>
                <w:sz w:val="20"/>
                <w:szCs w:val="20"/>
                <w:lang w:val="fr-FR"/>
              </w:rPr>
              <w:t>C0270/R0020</w:t>
            </w:r>
          </w:p>
        </w:tc>
        <w:tc>
          <w:tcPr>
            <w:tcW w:w="2835" w:type="dxa"/>
            <w:noWrap/>
          </w:tcPr>
          <w:p w:rsidR="00D02AF7" w:rsidRPr="00F56D15" w:rsidRDefault="00D02AF7" w:rsidP="00AD3A49">
            <w:pPr>
              <w:pStyle w:val="Default"/>
              <w:rPr>
                <w:sz w:val="20"/>
                <w:szCs w:val="20"/>
                <w:lang w:val="fr-FR"/>
              </w:rPr>
            </w:pPr>
            <w:r w:rsidRPr="00327E3C">
              <w:rPr>
                <w:sz w:val="20"/>
                <w:szCs w:val="20"/>
                <w:lang w:val="fr-FR"/>
              </w:rPr>
              <w:t xml:space="preserve">Nombre de </w:t>
            </w:r>
            <w:proofErr w:type="spellStart"/>
            <w:r w:rsidRPr="00327E3C">
              <w:rPr>
                <w:sz w:val="20"/>
                <w:szCs w:val="20"/>
                <w:lang w:val="fr-FR"/>
              </w:rPr>
              <w:t>sous-comptes</w:t>
            </w:r>
            <w:proofErr w:type="spellEnd"/>
            <w:r w:rsidRPr="00327E3C">
              <w:rPr>
                <w:sz w:val="20"/>
                <w:szCs w:val="20"/>
                <w:lang w:val="fr-FR"/>
              </w:rPr>
              <w:t xml:space="preserve"> ouverts conformément à l’article 20, paragraphe 2, du règlement (UE) 2019/1238 pour le PEPP de base commercialisé dans le pays</w:t>
            </w:r>
          </w:p>
        </w:tc>
        <w:tc>
          <w:tcPr>
            <w:tcW w:w="4531" w:type="dxa"/>
          </w:tcPr>
          <w:p w:rsidR="00D02AF7" w:rsidRPr="00F56D15" w:rsidRDefault="00D02AF7" w:rsidP="00AD3A49">
            <w:pPr>
              <w:pStyle w:val="Default"/>
              <w:rPr>
                <w:sz w:val="20"/>
                <w:szCs w:val="20"/>
                <w:lang w:val="fr-FR"/>
              </w:rPr>
            </w:pPr>
            <w:r w:rsidRPr="00327E3C">
              <w:rPr>
                <w:sz w:val="20"/>
                <w:szCs w:val="20"/>
                <w:lang w:val="fr-FR"/>
              </w:rPr>
              <w:t xml:space="preserve">Nombre de </w:t>
            </w:r>
            <w:proofErr w:type="spellStart"/>
            <w:r w:rsidRPr="00327E3C">
              <w:rPr>
                <w:sz w:val="20"/>
                <w:szCs w:val="20"/>
                <w:lang w:val="fr-FR"/>
              </w:rPr>
              <w:t>sous-comptes</w:t>
            </w:r>
            <w:proofErr w:type="spellEnd"/>
            <w:r w:rsidRPr="00327E3C">
              <w:rPr>
                <w:sz w:val="20"/>
                <w:szCs w:val="20"/>
                <w:lang w:val="fr-FR"/>
              </w:rPr>
              <w:t xml:space="preserve"> effectivement ouverts pour le PEPP de base commercialisé dans le pays à la demande d’épargnants qui ont informé le fournisseur de PEPP de leur intention de changer d’État membre de résidence.</w:t>
            </w:r>
          </w:p>
        </w:tc>
      </w:tr>
      <w:tr w:rsidR="00D02AF7" w:rsidRPr="0061324A" w:rsidTr="00AD3A49">
        <w:trPr>
          <w:cantSplit/>
        </w:trPr>
        <w:tc>
          <w:tcPr>
            <w:tcW w:w="1696" w:type="dxa"/>
          </w:tcPr>
          <w:p w:rsidR="00D02AF7" w:rsidRPr="00F56D15" w:rsidRDefault="00D02AF7" w:rsidP="00AD3A49">
            <w:pPr>
              <w:pStyle w:val="Default"/>
              <w:rPr>
                <w:sz w:val="20"/>
                <w:szCs w:val="20"/>
                <w:lang w:val="fr-FR"/>
              </w:rPr>
            </w:pPr>
            <w:r w:rsidRPr="00327E3C">
              <w:rPr>
                <w:sz w:val="20"/>
                <w:szCs w:val="20"/>
                <w:lang w:val="fr-FR"/>
              </w:rPr>
              <w:t>C0280/R0020</w:t>
            </w:r>
          </w:p>
        </w:tc>
        <w:tc>
          <w:tcPr>
            <w:tcW w:w="2835" w:type="dxa"/>
            <w:noWrap/>
          </w:tcPr>
          <w:p w:rsidR="00D02AF7" w:rsidRPr="00F56D15" w:rsidRDefault="00D02AF7" w:rsidP="00AD3A49">
            <w:pPr>
              <w:pStyle w:val="Default"/>
              <w:rPr>
                <w:sz w:val="20"/>
                <w:szCs w:val="20"/>
                <w:lang w:val="fr-FR"/>
              </w:rPr>
            </w:pPr>
            <w:r w:rsidRPr="00327E3C">
              <w:rPr>
                <w:sz w:val="20"/>
                <w:szCs w:val="20"/>
                <w:lang w:val="fr-FR"/>
              </w:rPr>
              <w:t>Nombre de demandes de changement de fournisseur faites par des épargnants PEPP en vertu de l’article 20, paragraphe 5, point a), du règlement (UE) 2019/1238 pour le PEPP de base commercialisé dans le pays</w:t>
            </w:r>
          </w:p>
        </w:tc>
        <w:tc>
          <w:tcPr>
            <w:tcW w:w="4531" w:type="dxa"/>
          </w:tcPr>
          <w:p w:rsidR="00D02AF7" w:rsidRPr="00F56D15" w:rsidRDefault="00D02AF7" w:rsidP="00AD3A49">
            <w:pPr>
              <w:pStyle w:val="Default"/>
              <w:rPr>
                <w:sz w:val="20"/>
                <w:szCs w:val="20"/>
                <w:lang w:val="fr-FR"/>
              </w:rPr>
            </w:pPr>
            <w:r w:rsidRPr="00327E3C">
              <w:rPr>
                <w:sz w:val="20"/>
                <w:szCs w:val="20"/>
                <w:lang w:val="fr-FR"/>
              </w:rPr>
              <w:t xml:space="preserve">Nombre de demandes de changement de fournisseur de PEPP dues à l’incapacité du fournisseur actuel de créer un </w:t>
            </w:r>
            <w:proofErr w:type="spellStart"/>
            <w:r w:rsidRPr="00327E3C">
              <w:rPr>
                <w:sz w:val="20"/>
                <w:szCs w:val="20"/>
                <w:lang w:val="fr-FR"/>
              </w:rPr>
              <w:t>sous-compte</w:t>
            </w:r>
            <w:proofErr w:type="spellEnd"/>
            <w:r w:rsidRPr="00327E3C">
              <w:rPr>
                <w:sz w:val="20"/>
                <w:szCs w:val="20"/>
                <w:lang w:val="fr-FR"/>
              </w:rPr>
              <w:t xml:space="preserve"> pour les épargnants affiliés au PEPP de base commercialisé dans le pays qui changent d’État membre de résidence.</w:t>
            </w:r>
          </w:p>
        </w:tc>
      </w:tr>
      <w:tr w:rsidR="00D02AF7" w:rsidRPr="0061324A" w:rsidTr="00AD3A49">
        <w:trPr>
          <w:cantSplit/>
        </w:trPr>
        <w:tc>
          <w:tcPr>
            <w:tcW w:w="1696" w:type="dxa"/>
          </w:tcPr>
          <w:p w:rsidR="00D02AF7" w:rsidRPr="00F56D15" w:rsidRDefault="00D02AF7" w:rsidP="00AD3A49">
            <w:pPr>
              <w:pStyle w:val="Default"/>
              <w:rPr>
                <w:sz w:val="20"/>
                <w:szCs w:val="20"/>
                <w:lang w:val="fr-FR"/>
              </w:rPr>
            </w:pPr>
            <w:r w:rsidRPr="00327E3C">
              <w:rPr>
                <w:sz w:val="20"/>
                <w:szCs w:val="20"/>
                <w:lang w:val="fr-FR"/>
              </w:rPr>
              <w:t>C0290/R0020</w:t>
            </w:r>
          </w:p>
        </w:tc>
        <w:tc>
          <w:tcPr>
            <w:tcW w:w="2835" w:type="dxa"/>
            <w:noWrap/>
          </w:tcPr>
          <w:p w:rsidR="00D02AF7" w:rsidRPr="00F56D15" w:rsidRDefault="00D02AF7" w:rsidP="00AD3A49">
            <w:pPr>
              <w:pStyle w:val="Default"/>
              <w:rPr>
                <w:sz w:val="20"/>
                <w:szCs w:val="20"/>
                <w:lang w:val="fr-FR"/>
              </w:rPr>
            </w:pPr>
            <w:r w:rsidRPr="00327E3C">
              <w:rPr>
                <w:sz w:val="20"/>
                <w:szCs w:val="20"/>
                <w:lang w:val="fr-FR"/>
              </w:rPr>
              <w:t>Transferts effectués en vertu de l’article 20, paragraphe 5, point a), du règlement (UE) 2019/1238 pour le PEPP de base commercialisé dans le pays</w:t>
            </w:r>
          </w:p>
        </w:tc>
        <w:tc>
          <w:tcPr>
            <w:tcW w:w="4531" w:type="dxa"/>
          </w:tcPr>
          <w:p w:rsidR="00D02AF7" w:rsidRPr="00F56D15" w:rsidRDefault="00D02AF7" w:rsidP="00AD3A49">
            <w:pPr>
              <w:pStyle w:val="Default"/>
              <w:rPr>
                <w:sz w:val="20"/>
                <w:szCs w:val="20"/>
                <w:lang w:val="fr-FR"/>
              </w:rPr>
            </w:pPr>
            <w:r w:rsidRPr="00327E3C">
              <w:rPr>
                <w:sz w:val="20"/>
                <w:szCs w:val="20"/>
                <w:lang w:val="fr-FR"/>
              </w:rPr>
              <w:t xml:space="preserve">Montant des transferts effectués vers un autre fournisseur de PEPP en raison de l’incapacité du fournisseur actuel de créer un </w:t>
            </w:r>
            <w:proofErr w:type="spellStart"/>
            <w:r w:rsidRPr="00327E3C">
              <w:rPr>
                <w:sz w:val="20"/>
                <w:szCs w:val="20"/>
                <w:lang w:val="fr-FR"/>
              </w:rPr>
              <w:t>sous-compte</w:t>
            </w:r>
            <w:proofErr w:type="spellEnd"/>
            <w:r w:rsidRPr="00327E3C">
              <w:rPr>
                <w:sz w:val="20"/>
                <w:szCs w:val="20"/>
                <w:lang w:val="fr-FR"/>
              </w:rPr>
              <w:t xml:space="preserve"> pour les épargnants affiliés au PEPP de base commercialisé dans le pays qui changent d’État membre de résidence.</w:t>
            </w:r>
          </w:p>
        </w:tc>
      </w:tr>
      <w:tr w:rsidR="00D02AF7" w:rsidRPr="0061324A" w:rsidTr="00AD3A49">
        <w:trPr>
          <w:cantSplit/>
        </w:trPr>
        <w:tc>
          <w:tcPr>
            <w:tcW w:w="1696" w:type="dxa"/>
          </w:tcPr>
          <w:p w:rsidR="00D02AF7" w:rsidRPr="00F56D15" w:rsidRDefault="00D02AF7" w:rsidP="00AD3A49">
            <w:pPr>
              <w:pStyle w:val="Default"/>
              <w:rPr>
                <w:sz w:val="20"/>
                <w:szCs w:val="20"/>
                <w:lang w:val="fr-FR"/>
              </w:rPr>
            </w:pPr>
            <w:r w:rsidRPr="00327E3C">
              <w:rPr>
                <w:sz w:val="20"/>
                <w:szCs w:val="20"/>
                <w:lang w:val="fr-FR"/>
              </w:rPr>
              <w:t>C0300/R0020</w:t>
            </w:r>
          </w:p>
        </w:tc>
        <w:tc>
          <w:tcPr>
            <w:tcW w:w="2835" w:type="dxa"/>
            <w:noWrap/>
          </w:tcPr>
          <w:p w:rsidR="00D02AF7" w:rsidRPr="00F56D15" w:rsidRDefault="00D02AF7" w:rsidP="00AD3A49">
            <w:pPr>
              <w:pStyle w:val="Default"/>
              <w:rPr>
                <w:sz w:val="20"/>
                <w:szCs w:val="20"/>
                <w:lang w:val="fr-FR"/>
              </w:rPr>
            </w:pPr>
            <w:r w:rsidRPr="00327E3C">
              <w:rPr>
                <w:sz w:val="20"/>
                <w:szCs w:val="20"/>
                <w:lang w:val="fr-FR"/>
              </w:rPr>
              <w:t>Nombre de demandes de changement de fournisseur faites par des épargnants PEPP en vertu de l’article 52, paragraphe 3, du règlement (UE) 2019/1238 pour le PEPP de base commercialisé dans le pays</w:t>
            </w:r>
          </w:p>
        </w:tc>
        <w:tc>
          <w:tcPr>
            <w:tcW w:w="4531" w:type="dxa"/>
          </w:tcPr>
          <w:p w:rsidR="00D02AF7" w:rsidRPr="00F56D15" w:rsidRDefault="00D02AF7" w:rsidP="00AD3A49">
            <w:pPr>
              <w:pStyle w:val="Default"/>
              <w:rPr>
                <w:sz w:val="20"/>
                <w:szCs w:val="20"/>
                <w:lang w:val="fr-FR"/>
              </w:rPr>
            </w:pPr>
            <w:r w:rsidRPr="00327E3C">
              <w:rPr>
                <w:sz w:val="20"/>
                <w:szCs w:val="20"/>
                <w:lang w:val="fr-FR"/>
              </w:rPr>
              <w:t>Nombre de demandes de changement de fournisseur de PEPP faites en vertu de l’article 52, paragraphe 3, du règlement (UE) 2019/1238 par des épargnants affiliés au PEPP de base commercialisé dans le pays.</w:t>
            </w:r>
          </w:p>
        </w:tc>
      </w:tr>
      <w:tr w:rsidR="00D02AF7" w:rsidRPr="0061324A" w:rsidTr="00AD3A49">
        <w:trPr>
          <w:cantSplit/>
        </w:trPr>
        <w:tc>
          <w:tcPr>
            <w:tcW w:w="1696" w:type="dxa"/>
          </w:tcPr>
          <w:p w:rsidR="00D02AF7" w:rsidRPr="006247DC" w:rsidRDefault="00D02AF7" w:rsidP="00AD3A49">
            <w:pPr>
              <w:pStyle w:val="Default"/>
              <w:rPr>
                <w:sz w:val="20"/>
                <w:szCs w:val="20"/>
                <w:lang w:val="fr-FR"/>
              </w:rPr>
            </w:pPr>
            <w:r w:rsidRPr="00327E3C">
              <w:rPr>
                <w:sz w:val="20"/>
                <w:szCs w:val="20"/>
                <w:lang w:val="fr-FR"/>
              </w:rPr>
              <w:t>C0310/R0020</w:t>
            </w:r>
          </w:p>
        </w:tc>
        <w:tc>
          <w:tcPr>
            <w:tcW w:w="2835" w:type="dxa"/>
            <w:noWrap/>
          </w:tcPr>
          <w:p w:rsidR="00D02AF7" w:rsidRPr="000A0C9C" w:rsidRDefault="00D02AF7" w:rsidP="00AD3A49">
            <w:pPr>
              <w:pStyle w:val="Default"/>
              <w:rPr>
                <w:sz w:val="20"/>
                <w:szCs w:val="20"/>
                <w:lang w:val="fr-FR"/>
              </w:rPr>
            </w:pPr>
            <w:r w:rsidRPr="00327E3C">
              <w:rPr>
                <w:sz w:val="20"/>
                <w:szCs w:val="20"/>
                <w:lang w:val="fr-FR"/>
              </w:rPr>
              <w:t>Transferts effectués conformément à l’article 52, paragraphe 3, du règlement (UE) 2019/1238 pour le PEPP de base commercialisé dans le pays</w:t>
            </w:r>
          </w:p>
        </w:tc>
        <w:tc>
          <w:tcPr>
            <w:tcW w:w="4531" w:type="dxa"/>
          </w:tcPr>
          <w:p w:rsidR="00D02AF7" w:rsidRPr="000A0C9C" w:rsidRDefault="00D02AF7" w:rsidP="00AD3A49">
            <w:pPr>
              <w:pStyle w:val="Default"/>
              <w:rPr>
                <w:sz w:val="20"/>
                <w:szCs w:val="20"/>
                <w:lang w:val="fr-FR"/>
              </w:rPr>
            </w:pPr>
            <w:r w:rsidRPr="00327E3C">
              <w:rPr>
                <w:sz w:val="20"/>
                <w:szCs w:val="20"/>
                <w:lang w:val="fr-FR"/>
              </w:rPr>
              <w:t>Montant des transferts effectués vers un autre fournisseur de PEPP en vertu de l’article 52, paragraphe 3, du règlement (UE) 2019/1238 à la demande d’épargnants affiliés au PEPP de base commercialisé dans le pays.</w:t>
            </w:r>
          </w:p>
        </w:tc>
      </w:tr>
      <w:tr w:rsidR="00D02AF7" w:rsidRPr="0061324A" w:rsidTr="00AD3A49">
        <w:trPr>
          <w:cantSplit/>
        </w:trPr>
        <w:tc>
          <w:tcPr>
            <w:tcW w:w="1696" w:type="dxa"/>
          </w:tcPr>
          <w:p w:rsidR="00D02AF7" w:rsidRPr="006247DC" w:rsidRDefault="00D02AF7" w:rsidP="00AD3A49">
            <w:pPr>
              <w:pStyle w:val="Default"/>
              <w:rPr>
                <w:sz w:val="20"/>
                <w:szCs w:val="20"/>
                <w:lang w:val="fr-FR"/>
              </w:rPr>
            </w:pPr>
            <w:r w:rsidRPr="00327E3C">
              <w:rPr>
                <w:sz w:val="20"/>
                <w:szCs w:val="20"/>
                <w:lang w:val="fr-FR"/>
              </w:rPr>
              <w:t>C0320/R0020</w:t>
            </w:r>
          </w:p>
        </w:tc>
        <w:tc>
          <w:tcPr>
            <w:tcW w:w="2835" w:type="dxa"/>
            <w:noWrap/>
          </w:tcPr>
          <w:p w:rsidR="00D02AF7" w:rsidRPr="000A0C9C" w:rsidRDefault="00D02AF7" w:rsidP="00AD3A49">
            <w:pPr>
              <w:pStyle w:val="Default"/>
              <w:rPr>
                <w:sz w:val="20"/>
                <w:szCs w:val="20"/>
                <w:lang w:val="fr-FR"/>
              </w:rPr>
            </w:pPr>
            <w:r w:rsidRPr="00327E3C">
              <w:rPr>
                <w:sz w:val="20"/>
                <w:szCs w:val="20"/>
                <w:lang w:val="fr-FR"/>
              </w:rPr>
              <w:t>Actifs du PEPP de base commercialisé dans le pays</w:t>
            </w:r>
          </w:p>
        </w:tc>
        <w:tc>
          <w:tcPr>
            <w:tcW w:w="4531" w:type="dxa"/>
          </w:tcPr>
          <w:p w:rsidR="00D02AF7" w:rsidRPr="000A0C9C" w:rsidRDefault="00D02AF7" w:rsidP="00AD3A49">
            <w:pPr>
              <w:pStyle w:val="Default"/>
              <w:rPr>
                <w:sz w:val="20"/>
                <w:szCs w:val="20"/>
                <w:lang w:val="fr-FR"/>
              </w:rPr>
            </w:pPr>
            <w:r w:rsidRPr="00327E3C">
              <w:rPr>
                <w:sz w:val="20"/>
                <w:szCs w:val="20"/>
                <w:lang w:val="fr-FR"/>
              </w:rPr>
              <w:t>Montant total des actifs liés au PEPP de base commercialisé dans le pays.</w:t>
            </w:r>
          </w:p>
        </w:tc>
      </w:tr>
      <w:tr w:rsidR="00D02AF7" w:rsidRPr="0061324A" w:rsidTr="00AD3A49">
        <w:trPr>
          <w:cantSplit/>
        </w:trPr>
        <w:tc>
          <w:tcPr>
            <w:tcW w:w="1696" w:type="dxa"/>
          </w:tcPr>
          <w:p w:rsidR="00D02AF7" w:rsidRPr="006247DC" w:rsidRDefault="00D02AF7" w:rsidP="00AD3A49">
            <w:pPr>
              <w:pStyle w:val="Default"/>
              <w:rPr>
                <w:sz w:val="20"/>
                <w:szCs w:val="20"/>
                <w:lang w:val="fr-FR"/>
              </w:rPr>
            </w:pPr>
            <w:r w:rsidRPr="00327E3C">
              <w:rPr>
                <w:sz w:val="20"/>
                <w:szCs w:val="20"/>
                <w:lang w:val="fr-FR"/>
              </w:rPr>
              <w:t>C0330/R0020</w:t>
            </w:r>
          </w:p>
        </w:tc>
        <w:tc>
          <w:tcPr>
            <w:tcW w:w="2835" w:type="dxa"/>
            <w:noWrap/>
          </w:tcPr>
          <w:p w:rsidR="00D02AF7" w:rsidRPr="000A0C9C" w:rsidRDefault="00D02AF7" w:rsidP="00AD3A49">
            <w:pPr>
              <w:pStyle w:val="Default"/>
              <w:rPr>
                <w:sz w:val="20"/>
                <w:szCs w:val="20"/>
                <w:lang w:val="fr-FR"/>
              </w:rPr>
            </w:pPr>
            <w:r w:rsidRPr="00327E3C">
              <w:rPr>
                <w:sz w:val="20"/>
                <w:szCs w:val="20"/>
                <w:lang w:val="fr-FR"/>
              </w:rPr>
              <w:t>Obligations liées au PEPP de base commercialisé dans le pays</w:t>
            </w:r>
          </w:p>
        </w:tc>
        <w:tc>
          <w:tcPr>
            <w:tcW w:w="4531" w:type="dxa"/>
          </w:tcPr>
          <w:p w:rsidR="00D02AF7" w:rsidRPr="000A0C9C" w:rsidRDefault="00D02AF7" w:rsidP="00AD3A49">
            <w:pPr>
              <w:pStyle w:val="Default"/>
              <w:rPr>
                <w:sz w:val="20"/>
                <w:szCs w:val="20"/>
                <w:lang w:val="fr-FR"/>
              </w:rPr>
            </w:pPr>
            <w:r w:rsidRPr="00327E3C">
              <w:rPr>
                <w:sz w:val="20"/>
                <w:szCs w:val="20"/>
                <w:lang w:val="fr-FR"/>
              </w:rPr>
              <w:t>Montant total des provisions techniques et autres passifs, le cas échéant, liés au PEPP de base commercialisé dans le pays.</w:t>
            </w:r>
          </w:p>
        </w:tc>
      </w:tr>
      <w:tr w:rsidR="00D02AF7" w:rsidRPr="0061324A" w:rsidTr="00AD3A49">
        <w:trPr>
          <w:cantSplit/>
        </w:trPr>
        <w:tc>
          <w:tcPr>
            <w:tcW w:w="1696" w:type="dxa"/>
          </w:tcPr>
          <w:p w:rsidR="00D02AF7" w:rsidRPr="006247DC" w:rsidRDefault="00D02AF7" w:rsidP="00AD3A49">
            <w:pPr>
              <w:pStyle w:val="Default"/>
              <w:rPr>
                <w:sz w:val="20"/>
                <w:szCs w:val="20"/>
                <w:lang w:val="fr-FR"/>
              </w:rPr>
            </w:pPr>
            <w:r w:rsidRPr="00327E3C">
              <w:rPr>
                <w:sz w:val="20"/>
                <w:szCs w:val="20"/>
                <w:lang w:val="fr-FR"/>
              </w:rPr>
              <w:t>C0340/R0020</w:t>
            </w:r>
          </w:p>
        </w:tc>
        <w:tc>
          <w:tcPr>
            <w:tcW w:w="2835" w:type="dxa"/>
            <w:noWrap/>
          </w:tcPr>
          <w:p w:rsidR="00D02AF7" w:rsidRPr="000A0C9C" w:rsidRDefault="00D02AF7" w:rsidP="00AD3A49">
            <w:pPr>
              <w:pStyle w:val="Default"/>
              <w:rPr>
                <w:sz w:val="20"/>
                <w:szCs w:val="20"/>
                <w:lang w:val="fr-FR"/>
              </w:rPr>
            </w:pPr>
            <w:r w:rsidRPr="00327E3C">
              <w:rPr>
                <w:sz w:val="20"/>
                <w:szCs w:val="20"/>
                <w:lang w:val="fr-FR"/>
              </w:rPr>
              <w:t>Nombre de réclamations liées au PEPP de base commercialisé dans le pays</w:t>
            </w:r>
          </w:p>
        </w:tc>
        <w:tc>
          <w:tcPr>
            <w:tcW w:w="4531" w:type="dxa"/>
          </w:tcPr>
          <w:p w:rsidR="00D02AF7" w:rsidRPr="000A0C9C" w:rsidRDefault="00D02AF7" w:rsidP="00AD3A49">
            <w:pPr>
              <w:pStyle w:val="Default"/>
              <w:rPr>
                <w:sz w:val="20"/>
                <w:szCs w:val="20"/>
                <w:lang w:val="fr-FR"/>
              </w:rPr>
            </w:pPr>
            <w:r w:rsidRPr="00327E3C">
              <w:rPr>
                <w:sz w:val="20"/>
                <w:szCs w:val="20"/>
                <w:lang w:val="fr-FR"/>
              </w:rPr>
              <w:t>Nombre total de réclamations reçues pour le PEPP de base commercialisé dans le pays sur la période de référence.</w:t>
            </w:r>
          </w:p>
        </w:tc>
      </w:tr>
      <w:tr w:rsidR="00D02AF7" w:rsidRPr="0061324A" w:rsidTr="00AD3A49">
        <w:trPr>
          <w:cantSplit/>
        </w:trPr>
        <w:tc>
          <w:tcPr>
            <w:tcW w:w="1696" w:type="dxa"/>
          </w:tcPr>
          <w:p w:rsidR="00D02AF7" w:rsidRPr="006247DC" w:rsidRDefault="00D02AF7" w:rsidP="00AD3A49">
            <w:pPr>
              <w:pStyle w:val="Default"/>
              <w:rPr>
                <w:sz w:val="20"/>
                <w:szCs w:val="20"/>
                <w:lang w:val="fr-FR"/>
              </w:rPr>
            </w:pPr>
            <w:r w:rsidRPr="003E3845">
              <w:rPr>
                <w:sz w:val="20"/>
                <w:szCs w:val="20"/>
                <w:lang w:val="fr-FR"/>
              </w:rPr>
              <w:t>C0150/R0030</w:t>
            </w:r>
          </w:p>
        </w:tc>
        <w:tc>
          <w:tcPr>
            <w:tcW w:w="2835" w:type="dxa"/>
            <w:noWrap/>
          </w:tcPr>
          <w:p w:rsidR="00D02AF7" w:rsidRPr="000A0C9C" w:rsidRDefault="00D02AF7" w:rsidP="00AD3A49">
            <w:pPr>
              <w:pStyle w:val="Default"/>
              <w:rPr>
                <w:sz w:val="20"/>
                <w:szCs w:val="20"/>
                <w:lang w:val="fr-FR"/>
              </w:rPr>
            </w:pPr>
            <w:r w:rsidRPr="003E3845">
              <w:rPr>
                <w:sz w:val="20"/>
                <w:szCs w:val="20"/>
                <w:lang w:val="fr-FR"/>
              </w:rPr>
              <w:t>Nombre d’épargnants affiliés au PEPP de base en voie de liquidation</w:t>
            </w:r>
          </w:p>
        </w:tc>
        <w:tc>
          <w:tcPr>
            <w:tcW w:w="4531" w:type="dxa"/>
          </w:tcPr>
          <w:p w:rsidR="00D02AF7" w:rsidRPr="000A0C9C" w:rsidRDefault="00D02AF7" w:rsidP="00AD3A49">
            <w:pPr>
              <w:pStyle w:val="Default"/>
              <w:rPr>
                <w:sz w:val="20"/>
                <w:szCs w:val="20"/>
                <w:lang w:val="fr-FR"/>
              </w:rPr>
            </w:pPr>
            <w:r w:rsidRPr="003E3845">
              <w:rPr>
                <w:sz w:val="20"/>
                <w:szCs w:val="20"/>
                <w:lang w:val="fr-FR"/>
              </w:rPr>
              <w:t>Nombre d’épargnants affiliés au PEPP de base en voie de liquidation.</w:t>
            </w:r>
          </w:p>
        </w:tc>
      </w:tr>
      <w:tr w:rsidR="00D02AF7" w:rsidRPr="0061324A" w:rsidTr="00AD3A49">
        <w:trPr>
          <w:cantSplit/>
        </w:trPr>
        <w:tc>
          <w:tcPr>
            <w:tcW w:w="1696" w:type="dxa"/>
          </w:tcPr>
          <w:p w:rsidR="00D02AF7" w:rsidRPr="006247DC" w:rsidRDefault="00D02AF7" w:rsidP="00AD3A49">
            <w:pPr>
              <w:pStyle w:val="Default"/>
              <w:rPr>
                <w:sz w:val="20"/>
                <w:szCs w:val="20"/>
                <w:lang w:val="fr-FR"/>
              </w:rPr>
            </w:pPr>
            <w:r w:rsidRPr="003E3845">
              <w:rPr>
                <w:sz w:val="20"/>
                <w:szCs w:val="20"/>
                <w:lang w:val="fr-FR"/>
              </w:rPr>
              <w:t>C0160/R0030</w:t>
            </w:r>
          </w:p>
        </w:tc>
        <w:tc>
          <w:tcPr>
            <w:tcW w:w="2835" w:type="dxa"/>
            <w:noWrap/>
          </w:tcPr>
          <w:p w:rsidR="00D02AF7" w:rsidRPr="000A0C9C" w:rsidRDefault="00D02AF7" w:rsidP="00AD3A49">
            <w:pPr>
              <w:pStyle w:val="Default"/>
              <w:rPr>
                <w:sz w:val="20"/>
                <w:szCs w:val="20"/>
                <w:lang w:val="fr-FR"/>
              </w:rPr>
            </w:pPr>
            <w:r w:rsidRPr="003E3845">
              <w:rPr>
                <w:sz w:val="20"/>
                <w:szCs w:val="20"/>
                <w:lang w:val="fr-FR"/>
              </w:rPr>
              <w:t>Total des cotisations brutes reçues pour le PEPP de base en voie de liquidation</w:t>
            </w:r>
          </w:p>
        </w:tc>
        <w:tc>
          <w:tcPr>
            <w:tcW w:w="4531" w:type="dxa"/>
          </w:tcPr>
          <w:p w:rsidR="00D02AF7" w:rsidRPr="000A0C9C" w:rsidRDefault="00D02AF7" w:rsidP="00AD3A49">
            <w:pPr>
              <w:pStyle w:val="Default"/>
              <w:rPr>
                <w:sz w:val="20"/>
                <w:szCs w:val="20"/>
                <w:lang w:val="fr-FR"/>
              </w:rPr>
            </w:pPr>
            <w:r w:rsidRPr="003E3845">
              <w:rPr>
                <w:sz w:val="20"/>
                <w:szCs w:val="20"/>
                <w:lang w:val="fr-FR"/>
              </w:rPr>
              <w:t>Montant total des cotisations versées durant la période de référence par les épargnants affiliés au PEPP de base en voie de liquidation.</w:t>
            </w:r>
          </w:p>
        </w:tc>
      </w:tr>
      <w:tr w:rsidR="00D02AF7" w:rsidRPr="0061324A" w:rsidTr="00AD3A49">
        <w:trPr>
          <w:cantSplit/>
        </w:trPr>
        <w:tc>
          <w:tcPr>
            <w:tcW w:w="1696" w:type="dxa"/>
          </w:tcPr>
          <w:p w:rsidR="00D02AF7" w:rsidRPr="006247DC" w:rsidRDefault="00D02AF7" w:rsidP="00AD3A49">
            <w:pPr>
              <w:pStyle w:val="Default"/>
              <w:rPr>
                <w:sz w:val="20"/>
                <w:szCs w:val="20"/>
                <w:lang w:val="fr-FR"/>
              </w:rPr>
            </w:pPr>
            <w:r w:rsidRPr="003E3845">
              <w:rPr>
                <w:sz w:val="20"/>
                <w:szCs w:val="20"/>
                <w:lang w:val="fr-FR"/>
              </w:rPr>
              <w:t>C0170/R0030</w:t>
            </w:r>
          </w:p>
        </w:tc>
        <w:tc>
          <w:tcPr>
            <w:tcW w:w="2835" w:type="dxa"/>
            <w:noWrap/>
          </w:tcPr>
          <w:p w:rsidR="00D02AF7" w:rsidRPr="000A0C9C" w:rsidRDefault="00D02AF7" w:rsidP="00AD3A49">
            <w:pPr>
              <w:pStyle w:val="Default"/>
              <w:rPr>
                <w:sz w:val="20"/>
                <w:szCs w:val="20"/>
                <w:lang w:val="fr-FR"/>
              </w:rPr>
            </w:pPr>
            <w:r w:rsidRPr="003E3845">
              <w:rPr>
                <w:sz w:val="20"/>
                <w:szCs w:val="20"/>
                <w:lang w:val="fr-FR"/>
              </w:rPr>
              <w:t>Rendement brut total des investissements pour le PEPP de base en voie de liquidation</w:t>
            </w:r>
          </w:p>
        </w:tc>
        <w:tc>
          <w:tcPr>
            <w:tcW w:w="4531" w:type="dxa"/>
          </w:tcPr>
          <w:p w:rsidR="00D02AF7" w:rsidRPr="000A0C9C" w:rsidRDefault="00D02AF7" w:rsidP="00AD3A49">
            <w:pPr>
              <w:pStyle w:val="Default"/>
              <w:rPr>
                <w:sz w:val="20"/>
                <w:szCs w:val="20"/>
                <w:lang w:val="fr-FR"/>
              </w:rPr>
            </w:pPr>
            <w:r w:rsidRPr="003E3845">
              <w:rPr>
                <w:sz w:val="20"/>
                <w:szCs w:val="20"/>
                <w:lang w:val="fr-FR"/>
              </w:rPr>
              <w:t>Montant total des rendements bruts d’investissements alloués aux épargnants. Il s’agit du montant brut, avant déduction des coûts d’investissement du PEPP de base en voie de liquidation.</w:t>
            </w:r>
          </w:p>
        </w:tc>
      </w:tr>
      <w:tr w:rsidR="00D02AF7" w:rsidRPr="0061324A" w:rsidTr="00AD3A49">
        <w:trPr>
          <w:cantSplit/>
        </w:trPr>
        <w:tc>
          <w:tcPr>
            <w:tcW w:w="1696" w:type="dxa"/>
          </w:tcPr>
          <w:p w:rsidR="00D02AF7" w:rsidRPr="000A0C9C" w:rsidRDefault="00D02AF7" w:rsidP="00AD3A49">
            <w:pPr>
              <w:pStyle w:val="Default"/>
              <w:rPr>
                <w:sz w:val="20"/>
                <w:szCs w:val="20"/>
                <w:lang w:val="fr-FR"/>
              </w:rPr>
            </w:pPr>
            <w:r w:rsidRPr="003E3845">
              <w:rPr>
                <w:sz w:val="20"/>
                <w:szCs w:val="20"/>
                <w:lang w:val="fr-FR"/>
              </w:rPr>
              <w:t>C0190/R0030</w:t>
            </w:r>
          </w:p>
        </w:tc>
        <w:tc>
          <w:tcPr>
            <w:tcW w:w="2835" w:type="dxa"/>
            <w:noWrap/>
          </w:tcPr>
          <w:p w:rsidR="00D02AF7" w:rsidRPr="000A0C9C" w:rsidRDefault="00D02AF7" w:rsidP="00AD3A49">
            <w:pPr>
              <w:pStyle w:val="Default"/>
              <w:rPr>
                <w:sz w:val="20"/>
                <w:szCs w:val="20"/>
                <w:lang w:val="fr-FR"/>
              </w:rPr>
            </w:pPr>
            <w:r w:rsidRPr="003E3845">
              <w:rPr>
                <w:sz w:val="20"/>
                <w:szCs w:val="20"/>
                <w:lang w:val="fr-FR"/>
              </w:rPr>
              <w:t>Montant total des prestations versées au titre du PEPP de base en voie de liquidation</w:t>
            </w:r>
          </w:p>
        </w:tc>
        <w:tc>
          <w:tcPr>
            <w:tcW w:w="4531" w:type="dxa"/>
          </w:tcPr>
          <w:p w:rsidR="00D02AF7" w:rsidRPr="000A0C9C" w:rsidRDefault="00D02AF7" w:rsidP="00AD3A49">
            <w:pPr>
              <w:pStyle w:val="Default"/>
              <w:rPr>
                <w:sz w:val="20"/>
                <w:szCs w:val="20"/>
                <w:lang w:val="fr-FR"/>
              </w:rPr>
            </w:pPr>
            <w:r w:rsidRPr="003E3845">
              <w:rPr>
                <w:sz w:val="20"/>
                <w:szCs w:val="20"/>
                <w:lang w:val="fr-FR"/>
              </w:rPr>
              <w:t>Montant total des prestations versées durant la période de référence aux épargnants affiliés au PEPP de base en voie de liquidation. Ce montant inclut toutes les prestations versées, notamment au titre des risques biométriques et des autres options disponibles pour le produit.</w:t>
            </w:r>
          </w:p>
        </w:tc>
      </w:tr>
      <w:tr w:rsidR="00D02AF7" w:rsidRPr="0061324A" w:rsidTr="00AD3A49">
        <w:trPr>
          <w:cantSplit/>
        </w:trPr>
        <w:tc>
          <w:tcPr>
            <w:tcW w:w="1696" w:type="dxa"/>
          </w:tcPr>
          <w:p w:rsidR="00D02AF7" w:rsidRPr="000A0C9C" w:rsidRDefault="00D02AF7" w:rsidP="00AD3A49">
            <w:pPr>
              <w:pStyle w:val="Default"/>
              <w:rPr>
                <w:sz w:val="20"/>
                <w:szCs w:val="20"/>
                <w:lang w:val="fr-FR"/>
              </w:rPr>
            </w:pPr>
            <w:r w:rsidRPr="003E3845">
              <w:rPr>
                <w:sz w:val="20"/>
                <w:szCs w:val="20"/>
                <w:lang w:val="fr-FR"/>
              </w:rPr>
              <w:t>C0200/R0030</w:t>
            </w:r>
          </w:p>
        </w:tc>
        <w:tc>
          <w:tcPr>
            <w:tcW w:w="2835" w:type="dxa"/>
            <w:noWrap/>
          </w:tcPr>
          <w:p w:rsidR="00D02AF7" w:rsidRPr="000A0C9C" w:rsidRDefault="00D02AF7" w:rsidP="00AD3A49">
            <w:pPr>
              <w:pStyle w:val="Default"/>
              <w:rPr>
                <w:sz w:val="20"/>
                <w:szCs w:val="20"/>
                <w:lang w:val="fr-FR"/>
              </w:rPr>
            </w:pPr>
            <w:r w:rsidRPr="003E3845">
              <w:rPr>
                <w:sz w:val="20"/>
                <w:szCs w:val="20"/>
                <w:lang w:val="fr-FR"/>
              </w:rPr>
              <w:t>Prestations de retraite versées pour le PEPP de base en voie de liquidation</w:t>
            </w:r>
          </w:p>
        </w:tc>
        <w:tc>
          <w:tcPr>
            <w:tcW w:w="4531" w:type="dxa"/>
          </w:tcPr>
          <w:p w:rsidR="00D02AF7" w:rsidRPr="000A0C9C" w:rsidRDefault="00D02AF7" w:rsidP="00AD3A49">
            <w:pPr>
              <w:pStyle w:val="Default"/>
              <w:rPr>
                <w:sz w:val="20"/>
                <w:szCs w:val="20"/>
                <w:lang w:val="fr-FR"/>
              </w:rPr>
            </w:pPr>
            <w:r w:rsidRPr="003E3845">
              <w:rPr>
                <w:sz w:val="20"/>
                <w:szCs w:val="20"/>
                <w:lang w:val="fr-FR"/>
              </w:rPr>
              <w:t>Montant des prestations versées durant la période de référence aux épargnants du PEPP de base en voie de liquidation. Ce montant ne comprend que les prestations de retraite.</w:t>
            </w:r>
          </w:p>
        </w:tc>
      </w:tr>
      <w:tr w:rsidR="00D02AF7" w:rsidRPr="0061324A" w:rsidTr="00AD3A49">
        <w:trPr>
          <w:cantSplit/>
        </w:trPr>
        <w:tc>
          <w:tcPr>
            <w:tcW w:w="1696" w:type="dxa"/>
          </w:tcPr>
          <w:p w:rsidR="00D02AF7" w:rsidRPr="00F56D15" w:rsidRDefault="00D02AF7" w:rsidP="00AD3A49">
            <w:pPr>
              <w:pStyle w:val="Default"/>
              <w:rPr>
                <w:sz w:val="20"/>
                <w:szCs w:val="20"/>
                <w:lang w:val="fr-FR"/>
              </w:rPr>
            </w:pPr>
            <w:r w:rsidRPr="003E3845">
              <w:rPr>
                <w:sz w:val="20"/>
                <w:szCs w:val="20"/>
                <w:lang w:val="fr-FR"/>
              </w:rPr>
              <w:t>C0210/R0030</w:t>
            </w:r>
          </w:p>
        </w:tc>
        <w:tc>
          <w:tcPr>
            <w:tcW w:w="2835" w:type="dxa"/>
            <w:noWrap/>
          </w:tcPr>
          <w:p w:rsidR="00D02AF7" w:rsidRPr="00F56D15" w:rsidRDefault="00D02AF7" w:rsidP="00AD3A49">
            <w:pPr>
              <w:pStyle w:val="Default"/>
              <w:rPr>
                <w:sz w:val="20"/>
                <w:szCs w:val="20"/>
                <w:lang w:val="fr-FR"/>
              </w:rPr>
            </w:pPr>
            <w:r w:rsidRPr="003E3845">
              <w:rPr>
                <w:sz w:val="20"/>
                <w:szCs w:val="20"/>
                <w:lang w:val="fr-FR"/>
              </w:rPr>
              <w:t>Prestations de retraite versées sous forme de rente au titre du PEPP de base en voie de liquidation</w:t>
            </w:r>
          </w:p>
        </w:tc>
        <w:tc>
          <w:tcPr>
            <w:tcW w:w="4531" w:type="dxa"/>
          </w:tcPr>
          <w:p w:rsidR="00D02AF7" w:rsidRPr="00F56D15" w:rsidRDefault="00D02AF7" w:rsidP="00AD3A49">
            <w:pPr>
              <w:pStyle w:val="Default"/>
              <w:rPr>
                <w:sz w:val="20"/>
                <w:szCs w:val="20"/>
                <w:lang w:val="fr-FR"/>
              </w:rPr>
            </w:pPr>
            <w:r w:rsidRPr="003E3845">
              <w:rPr>
                <w:sz w:val="20"/>
                <w:szCs w:val="20"/>
                <w:lang w:val="fr-FR"/>
              </w:rPr>
              <w:t>Montant des prestations versées durant la période de référence aux épargnants du PEPP de base en voie de liquidation. Ce montant ne comprend que les prestations de retraite versées sous forme de rente.</w:t>
            </w:r>
          </w:p>
        </w:tc>
      </w:tr>
      <w:tr w:rsidR="00D02AF7" w:rsidRPr="0061324A" w:rsidTr="00AD3A49">
        <w:trPr>
          <w:cantSplit/>
        </w:trPr>
        <w:tc>
          <w:tcPr>
            <w:tcW w:w="1696" w:type="dxa"/>
          </w:tcPr>
          <w:p w:rsidR="00D02AF7" w:rsidRPr="00F56D15" w:rsidRDefault="00D02AF7" w:rsidP="00AD3A49">
            <w:pPr>
              <w:pStyle w:val="Default"/>
              <w:rPr>
                <w:sz w:val="20"/>
                <w:szCs w:val="20"/>
                <w:lang w:val="fr-FR"/>
              </w:rPr>
            </w:pPr>
            <w:r w:rsidRPr="003E3845">
              <w:rPr>
                <w:sz w:val="20"/>
                <w:szCs w:val="20"/>
                <w:lang w:val="fr-FR"/>
              </w:rPr>
              <w:t>C0220/R0030</w:t>
            </w:r>
          </w:p>
        </w:tc>
        <w:tc>
          <w:tcPr>
            <w:tcW w:w="2835" w:type="dxa"/>
            <w:noWrap/>
          </w:tcPr>
          <w:p w:rsidR="00D02AF7" w:rsidRPr="00F56D15" w:rsidRDefault="00D02AF7" w:rsidP="00AD3A49">
            <w:pPr>
              <w:pStyle w:val="Default"/>
              <w:rPr>
                <w:sz w:val="20"/>
                <w:szCs w:val="20"/>
                <w:lang w:val="fr-FR"/>
              </w:rPr>
            </w:pPr>
            <w:r w:rsidRPr="003E3845">
              <w:rPr>
                <w:sz w:val="20"/>
                <w:szCs w:val="20"/>
                <w:lang w:val="fr-FR"/>
              </w:rPr>
              <w:t>Prestations de retraite versées sous forme de capital unique au titre du PEPP de base en voie de liquidation.</w:t>
            </w:r>
          </w:p>
        </w:tc>
        <w:tc>
          <w:tcPr>
            <w:tcW w:w="4531" w:type="dxa"/>
          </w:tcPr>
          <w:p w:rsidR="00D02AF7" w:rsidRPr="00F56D15" w:rsidRDefault="00D02AF7" w:rsidP="00AD3A49">
            <w:pPr>
              <w:pStyle w:val="Default"/>
              <w:rPr>
                <w:sz w:val="20"/>
                <w:szCs w:val="20"/>
                <w:lang w:val="fr-FR"/>
              </w:rPr>
            </w:pPr>
            <w:r w:rsidRPr="003E3845">
              <w:rPr>
                <w:sz w:val="20"/>
                <w:szCs w:val="20"/>
                <w:lang w:val="fr-FR"/>
              </w:rPr>
              <w:t>Montant des prestations versées durant la période de référence aux épargnants du PEPP de base en voie de liquidation. Ce montant ne comprend que les prestations de retraite versées en une fois.</w:t>
            </w:r>
          </w:p>
        </w:tc>
      </w:tr>
      <w:tr w:rsidR="00D02AF7" w:rsidRPr="0061324A" w:rsidTr="00AD3A49">
        <w:trPr>
          <w:cantSplit/>
        </w:trPr>
        <w:tc>
          <w:tcPr>
            <w:tcW w:w="1696" w:type="dxa"/>
          </w:tcPr>
          <w:p w:rsidR="00D02AF7" w:rsidRPr="00F56D15" w:rsidRDefault="00D02AF7" w:rsidP="00AD3A49">
            <w:pPr>
              <w:pStyle w:val="Default"/>
              <w:rPr>
                <w:sz w:val="20"/>
                <w:szCs w:val="20"/>
                <w:lang w:val="fr-FR"/>
              </w:rPr>
            </w:pPr>
            <w:r w:rsidRPr="003E3845">
              <w:rPr>
                <w:sz w:val="20"/>
                <w:szCs w:val="20"/>
                <w:lang w:val="fr-FR"/>
              </w:rPr>
              <w:t>C0230/R0030</w:t>
            </w:r>
          </w:p>
        </w:tc>
        <w:tc>
          <w:tcPr>
            <w:tcW w:w="2835" w:type="dxa"/>
            <w:noWrap/>
          </w:tcPr>
          <w:p w:rsidR="00D02AF7" w:rsidRPr="00F56D15" w:rsidRDefault="00D02AF7" w:rsidP="00AD3A49">
            <w:pPr>
              <w:pStyle w:val="Default"/>
              <w:rPr>
                <w:sz w:val="20"/>
                <w:szCs w:val="20"/>
                <w:lang w:val="fr-FR"/>
              </w:rPr>
            </w:pPr>
            <w:r w:rsidRPr="003E3845">
              <w:rPr>
                <w:sz w:val="20"/>
                <w:szCs w:val="20"/>
                <w:lang w:val="fr-FR"/>
              </w:rPr>
              <w:t>Prestations de retraite perçues sous forme de retraits au titre du PEPP de base en voie de liquidation</w:t>
            </w:r>
          </w:p>
        </w:tc>
        <w:tc>
          <w:tcPr>
            <w:tcW w:w="4531" w:type="dxa"/>
          </w:tcPr>
          <w:p w:rsidR="00D02AF7" w:rsidRPr="00F56D15" w:rsidRDefault="00D02AF7" w:rsidP="00AD3A49">
            <w:pPr>
              <w:pStyle w:val="Default"/>
              <w:rPr>
                <w:sz w:val="20"/>
                <w:szCs w:val="20"/>
                <w:lang w:val="fr-FR"/>
              </w:rPr>
            </w:pPr>
            <w:r w:rsidRPr="003E3845">
              <w:rPr>
                <w:sz w:val="20"/>
                <w:szCs w:val="20"/>
                <w:lang w:val="fr-FR"/>
              </w:rPr>
              <w:t>Montant des prestations versées durant la période de déclaration aux épargnants du PEPP de base en voie de liquidation. Ce montant ne comprend que les prestations de retraite perçues sous forme de retraits.</w:t>
            </w:r>
          </w:p>
        </w:tc>
      </w:tr>
      <w:tr w:rsidR="00D02AF7" w:rsidRPr="0061324A" w:rsidTr="00AD3A49">
        <w:trPr>
          <w:cantSplit/>
        </w:trPr>
        <w:tc>
          <w:tcPr>
            <w:tcW w:w="1696" w:type="dxa"/>
          </w:tcPr>
          <w:p w:rsidR="00D02AF7" w:rsidRPr="00F56D15" w:rsidRDefault="00D02AF7" w:rsidP="00AD3A49">
            <w:pPr>
              <w:pStyle w:val="Default"/>
              <w:rPr>
                <w:sz w:val="20"/>
                <w:szCs w:val="20"/>
                <w:lang w:val="fr-FR"/>
              </w:rPr>
            </w:pPr>
            <w:r w:rsidRPr="003E3845">
              <w:rPr>
                <w:sz w:val="20"/>
                <w:szCs w:val="20"/>
                <w:lang w:val="fr-FR"/>
              </w:rPr>
              <w:t>C0240/R0030</w:t>
            </w:r>
          </w:p>
        </w:tc>
        <w:tc>
          <w:tcPr>
            <w:tcW w:w="2835" w:type="dxa"/>
            <w:noWrap/>
          </w:tcPr>
          <w:p w:rsidR="00D02AF7" w:rsidRPr="00F56D15" w:rsidRDefault="00D02AF7" w:rsidP="00AD3A49">
            <w:pPr>
              <w:pStyle w:val="Default"/>
              <w:rPr>
                <w:sz w:val="20"/>
                <w:szCs w:val="20"/>
                <w:lang w:val="fr-FR"/>
              </w:rPr>
            </w:pPr>
            <w:r w:rsidRPr="003E3845">
              <w:rPr>
                <w:sz w:val="20"/>
                <w:szCs w:val="20"/>
                <w:lang w:val="fr-FR"/>
              </w:rPr>
              <w:t>Prestations autres que de retraite versées pour le PEPP de base en voie de liquidation</w:t>
            </w:r>
          </w:p>
        </w:tc>
        <w:tc>
          <w:tcPr>
            <w:tcW w:w="4531" w:type="dxa"/>
          </w:tcPr>
          <w:p w:rsidR="00D02AF7" w:rsidRPr="00F56D15" w:rsidRDefault="00D02AF7" w:rsidP="00AD3A49">
            <w:pPr>
              <w:pStyle w:val="Default"/>
              <w:rPr>
                <w:sz w:val="20"/>
                <w:szCs w:val="20"/>
                <w:lang w:val="fr-FR"/>
              </w:rPr>
            </w:pPr>
            <w:r w:rsidRPr="003E3845">
              <w:rPr>
                <w:sz w:val="20"/>
                <w:szCs w:val="20"/>
                <w:lang w:val="fr-FR"/>
              </w:rPr>
              <w:t>Montant des prestations versées durant la période de référence aux épargnants du PEPP de base en voie de liquidation. Ce montant ne comprend que les prestations liées à la couverture de risques autres que la retraite (risques biométriques et autres options disponibles).</w:t>
            </w:r>
          </w:p>
        </w:tc>
      </w:tr>
      <w:tr w:rsidR="00D02AF7" w:rsidRPr="0061324A" w:rsidTr="00AD3A49">
        <w:trPr>
          <w:cantSplit/>
        </w:trPr>
        <w:tc>
          <w:tcPr>
            <w:tcW w:w="1696" w:type="dxa"/>
          </w:tcPr>
          <w:p w:rsidR="00D02AF7" w:rsidRPr="00F56D15" w:rsidRDefault="00D02AF7" w:rsidP="00AD3A49">
            <w:pPr>
              <w:pStyle w:val="Default"/>
              <w:rPr>
                <w:sz w:val="20"/>
                <w:szCs w:val="20"/>
                <w:lang w:val="fr-FR"/>
              </w:rPr>
            </w:pPr>
            <w:r w:rsidRPr="003E3845">
              <w:rPr>
                <w:sz w:val="20"/>
                <w:szCs w:val="20"/>
                <w:lang w:val="fr-FR"/>
              </w:rPr>
              <w:t>C0250/R0030</w:t>
            </w:r>
          </w:p>
        </w:tc>
        <w:tc>
          <w:tcPr>
            <w:tcW w:w="2835" w:type="dxa"/>
            <w:noWrap/>
          </w:tcPr>
          <w:p w:rsidR="00D02AF7" w:rsidRPr="00F56D15" w:rsidRDefault="00D02AF7" w:rsidP="00AD3A49">
            <w:pPr>
              <w:pStyle w:val="Default"/>
              <w:rPr>
                <w:sz w:val="20"/>
                <w:szCs w:val="20"/>
                <w:lang w:val="fr-FR"/>
              </w:rPr>
            </w:pPr>
            <w:r w:rsidRPr="003E3845">
              <w:rPr>
                <w:sz w:val="20"/>
                <w:szCs w:val="20"/>
                <w:lang w:val="fr-FR"/>
              </w:rPr>
              <w:t>Nombre de notifications au titre de l’article 20, paragraphe 1, du règlement (UE) 2019/1238 reçues d’épargnants PEPP qui se sont installés dans un autre État membre, pour le PEPP de base en voie de liquidation</w:t>
            </w:r>
          </w:p>
        </w:tc>
        <w:tc>
          <w:tcPr>
            <w:tcW w:w="4531" w:type="dxa"/>
          </w:tcPr>
          <w:p w:rsidR="00D02AF7" w:rsidRPr="00F56D15" w:rsidRDefault="00D02AF7" w:rsidP="00AD3A49">
            <w:pPr>
              <w:pStyle w:val="Default"/>
              <w:rPr>
                <w:sz w:val="20"/>
                <w:szCs w:val="20"/>
                <w:lang w:val="fr-FR"/>
              </w:rPr>
            </w:pPr>
            <w:r w:rsidRPr="003E3845">
              <w:rPr>
                <w:sz w:val="20"/>
                <w:szCs w:val="20"/>
                <w:lang w:val="fr-FR"/>
              </w:rPr>
              <w:t>Nombre de notifications de changement d’État membre de résidence reçues d’épargnants affiliés au PEPP de base en voie de liquidation.</w:t>
            </w:r>
          </w:p>
        </w:tc>
      </w:tr>
      <w:tr w:rsidR="00D02AF7" w:rsidRPr="0061324A" w:rsidTr="00AD3A49">
        <w:trPr>
          <w:cantSplit/>
        </w:trPr>
        <w:tc>
          <w:tcPr>
            <w:tcW w:w="1696" w:type="dxa"/>
          </w:tcPr>
          <w:p w:rsidR="00D02AF7" w:rsidRPr="00F56D15" w:rsidRDefault="00D02AF7" w:rsidP="00AD3A49">
            <w:pPr>
              <w:pStyle w:val="Default"/>
              <w:rPr>
                <w:sz w:val="20"/>
                <w:szCs w:val="20"/>
                <w:lang w:val="fr-FR"/>
              </w:rPr>
            </w:pPr>
            <w:r w:rsidRPr="003E3845">
              <w:rPr>
                <w:sz w:val="20"/>
                <w:szCs w:val="20"/>
                <w:lang w:val="fr-FR"/>
              </w:rPr>
              <w:t>C0260/R0030</w:t>
            </w:r>
          </w:p>
        </w:tc>
        <w:tc>
          <w:tcPr>
            <w:tcW w:w="2835" w:type="dxa"/>
            <w:noWrap/>
          </w:tcPr>
          <w:p w:rsidR="00D02AF7" w:rsidRPr="00F56D15" w:rsidRDefault="00D02AF7" w:rsidP="00AD3A49">
            <w:pPr>
              <w:pStyle w:val="Default"/>
              <w:rPr>
                <w:sz w:val="20"/>
                <w:szCs w:val="20"/>
                <w:lang w:val="fr-FR"/>
              </w:rPr>
            </w:pPr>
            <w:r w:rsidRPr="003E3845">
              <w:rPr>
                <w:sz w:val="20"/>
                <w:szCs w:val="20"/>
                <w:lang w:val="fr-FR"/>
              </w:rPr>
              <w:t xml:space="preserve">Nombre de demandes d’ouverture d’un </w:t>
            </w:r>
            <w:proofErr w:type="spellStart"/>
            <w:r w:rsidRPr="003E3845">
              <w:rPr>
                <w:sz w:val="20"/>
                <w:szCs w:val="20"/>
                <w:lang w:val="fr-FR"/>
              </w:rPr>
              <w:t>sous-compte</w:t>
            </w:r>
            <w:proofErr w:type="spellEnd"/>
            <w:r w:rsidRPr="003E3845">
              <w:rPr>
                <w:sz w:val="20"/>
                <w:szCs w:val="20"/>
                <w:lang w:val="fr-FR"/>
              </w:rPr>
              <w:t xml:space="preserve"> en vertu de l’article 20, paragraphe 2, du règlement (UE) 2019/1238 pour le PEPP de base en voie de liquidation</w:t>
            </w:r>
          </w:p>
        </w:tc>
        <w:tc>
          <w:tcPr>
            <w:tcW w:w="4531" w:type="dxa"/>
          </w:tcPr>
          <w:p w:rsidR="00D02AF7" w:rsidRPr="00F56D15" w:rsidRDefault="00D02AF7" w:rsidP="00AD3A49">
            <w:pPr>
              <w:pStyle w:val="Default"/>
              <w:rPr>
                <w:sz w:val="20"/>
                <w:szCs w:val="20"/>
                <w:lang w:val="fr-FR"/>
              </w:rPr>
            </w:pPr>
            <w:r w:rsidRPr="003E3845">
              <w:rPr>
                <w:sz w:val="20"/>
                <w:szCs w:val="20"/>
                <w:lang w:val="fr-FR"/>
              </w:rPr>
              <w:t xml:space="preserve">Nombre de demandes d’ouverture d’un nouveau </w:t>
            </w:r>
            <w:proofErr w:type="spellStart"/>
            <w:r w:rsidRPr="003E3845">
              <w:rPr>
                <w:sz w:val="20"/>
                <w:szCs w:val="20"/>
                <w:lang w:val="fr-FR"/>
              </w:rPr>
              <w:t>sous-compte</w:t>
            </w:r>
            <w:proofErr w:type="spellEnd"/>
            <w:r w:rsidRPr="003E3845">
              <w:rPr>
                <w:sz w:val="20"/>
                <w:szCs w:val="20"/>
                <w:lang w:val="fr-FR"/>
              </w:rPr>
              <w:t xml:space="preserve"> pour le PEPP de base en voie de liquidation reçues d’épargnants qui ont informé le fournisseur de PEPP de leur intention de changer d’État membre de résidence.</w:t>
            </w:r>
          </w:p>
        </w:tc>
      </w:tr>
      <w:tr w:rsidR="00D02AF7" w:rsidRPr="0061324A" w:rsidTr="00AD3A49">
        <w:trPr>
          <w:cantSplit/>
        </w:trPr>
        <w:tc>
          <w:tcPr>
            <w:tcW w:w="1696" w:type="dxa"/>
          </w:tcPr>
          <w:p w:rsidR="00D02AF7" w:rsidRPr="00F56D15" w:rsidRDefault="00D02AF7" w:rsidP="00AD3A49">
            <w:pPr>
              <w:pStyle w:val="Default"/>
              <w:rPr>
                <w:sz w:val="20"/>
                <w:szCs w:val="20"/>
                <w:lang w:val="fr-FR"/>
              </w:rPr>
            </w:pPr>
            <w:r w:rsidRPr="003E3845">
              <w:rPr>
                <w:sz w:val="20"/>
                <w:szCs w:val="20"/>
                <w:lang w:val="fr-FR"/>
              </w:rPr>
              <w:t>C0270/R0030</w:t>
            </w:r>
          </w:p>
        </w:tc>
        <w:tc>
          <w:tcPr>
            <w:tcW w:w="2835" w:type="dxa"/>
            <w:noWrap/>
          </w:tcPr>
          <w:p w:rsidR="00D02AF7" w:rsidRPr="00F56D15" w:rsidRDefault="00D02AF7" w:rsidP="00AD3A49">
            <w:pPr>
              <w:pStyle w:val="Default"/>
              <w:rPr>
                <w:sz w:val="20"/>
                <w:szCs w:val="20"/>
                <w:lang w:val="fr-FR"/>
              </w:rPr>
            </w:pPr>
            <w:r w:rsidRPr="003E3845">
              <w:rPr>
                <w:sz w:val="20"/>
                <w:szCs w:val="20"/>
                <w:lang w:val="fr-FR"/>
              </w:rPr>
              <w:t xml:space="preserve">Nombre de </w:t>
            </w:r>
            <w:proofErr w:type="spellStart"/>
            <w:r w:rsidRPr="003E3845">
              <w:rPr>
                <w:sz w:val="20"/>
                <w:szCs w:val="20"/>
                <w:lang w:val="fr-FR"/>
              </w:rPr>
              <w:t>sous-comptes</w:t>
            </w:r>
            <w:proofErr w:type="spellEnd"/>
            <w:r w:rsidRPr="003E3845">
              <w:rPr>
                <w:sz w:val="20"/>
                <w:szCs w:val="20"/>
                <w:lang w:val="fr-FR"/>
              </w:rPr>
              <w:t xml:space="preserve"> ouverts en vertu de l’article 20, paragraphe 2, du règlement (UE) 2019/1238 pour le PEPP de base en voie de liquidation</w:t>
            </w:r>
          </w:p>
        </w:tc>
        <w:tc>
          <w:tcPr>
            <w:tcW w:w="4531" w:type="dxa"/>
          </w:tcPr>
          <w:p w:rsidR="00D02AF7" w:rsidRPr="00F56D15" w:rsidRDefault="00D02AF7" w:rsidP="00AD3A49">
            <w:pPr>
              <w:pStyle w:val="Default"/>
              <w:rPr>
                <w:sz w:val="20"/>
                <w:szCs w:val="20"/>
                <w:lang w:val="fr-FR"/>
              </w:rPr>
            </w:pPr>
            <w:r w:rsidRPr="003E3845">
              <w:rPr>
                <w:sz w:val="20"/>
                <w:szCs w:val="20"/>
                <w:lang w:val="fr-FR"/>
              </w:rPr>
              <w:t xml:space="preserve">Nombre de </w:t>
            </w:r>
            <w:proofErr w:type="spellStart"/>
            <w:r w:rsidRPr="003E3845">
              <w:rPr>
                <w:sz w:val="20"/>
                <w:szCs w:val="20"/>
                <w:lang w:val="fr-FR"/>
              </w:rPr>
              <w:t>sous-comptes</w:t>
            </w:r>
            <w:proofErr w:type="spellEnd"/>
            <w:r w:rsidRPr="003E3845">
              <w:rPr>
                <w:sz w:val="20"/>
                <w:szCs w:val="20"/>
                <w:lang w:val="fr-FR"/>
              </w:rPr>
              <w:t xml:space="preserve"> effectivement ouverts pour le PEPP de base en voie de liquidation à la demande d’épargnants qui ont informé le fournisseur de PEPP de leur intention de changer d’État membre de résidence.</w:t>
            </w:r>
          </w:p>
        </w:tc>
      </w:tr>
      <w:tr w:rsidR="00D02AF7" w:rsidRPr="0061324A" w:rsidTr="00AD3A49">
        <w:trPr>
          <w:cantSplit/>
        </w:trPr>
        <w:tc>
          <w:tcPr>
            <w:tcW w:w="1696" w:type="dxa"/>
          </w:tcPr>
          <w:p w:rsidR="00D02AF7" w:rsidRPr="000A0C9C" w:rsidRDefault="00D02AF7" w:rsidP="00AD3A49">
            <w:pPr>
              <w:pStyle w:val="Default"/>
              <w:rPr>
                <w:sz w:val="20"/>
                <w:szCs w:val="20"/>
                <w:lang w:val="fr-FR"/>
              </w:rPr>
            </w:pPr>
            <w:r w:rsidRPr="003E3845">
              <w:rPr>
                <w:sz w:val="20"/>
                <w:szCs w:val="20"/>
                <w:lang w:val="fr-FR"/>
              </w:rPr>
              <w:t>C0280/R0030</w:t>
            </w:r>
          </w:p>
        </w:tc>
        <w:tc>
          <w:tcPr>
            <w:tcW w:w="2835" w:type="dxa"/>
            <w:noWrap/>
          </w:tcPr>
          <w:p w:rsidR="00D02AF7" w:rsidRPr="000A0C9C" w:rsidRDefault="00D02AF7" w:rsidP="00AD3A49">
            <w:pPr>
              <w:pStyle w:val="Default"/>
              <w:rPr>
                <w:sz w:val="20"/>
                <w:szCs w:val="20"/>
                <w:lang w:val="fr-FR"/>
              </w:rPr>
            </w:pPr>
            <w:r w:rsidRPr="003E3845">
              <w:rPr>
                <w:sz w:val="20"/>
                <w:szCs w:val="20"/>
                <w:lang w:val="fr-FR"/>
              </w:rPr>
              <w:t>Nombre de demandes de changement de fournisseur faites par des épargnants PEPP en vertu de l’article 20, paragraphe 5, point a), du règlement (UE) 2019/1238 pour le PEPP de base en voie de liquidation</w:t>
            </w:r>
          </w:p>
        </w:tc>
        <w:tc>
          <w:tcPr>
            <w:tcW w:w="4531" w:type="dxa"/>
          </w:tcPr>
          <w:p w:rsidR="00D02AF7" w:rsidRPr="000A0C9C" w:rsidRDefault="00D02AF7" w:rsidP="00AD3A49">
            <w:pPr>
              <w:pStyle w:val="Default"/>
              <w:rPr>
                <w:sz w:val="20"/>
                <w:szCs w:val="20"/>
                <w:lang w:val="fr-FR"/>
              </w:rPr>
            </w:pPr>
            <w:r w:rsidRPr="003E3845">
              <w:rPr>
                <w:sz w:val="20"/>
                <w:szCs w:val="20"/>
                <w:lang w:val="fr-FR"/>
              </w:rPr>
              <w:t xml:space="preserve">Nombre de demandes de changement de fournisseur de PEPP dues à l’incapacité du fournisseur actuel de créer un </w:t>
            </w:r>
            <w:proofErr w:type="spellStart"/>
            <w:r w:rsidRPr="003E3845">
              <w:rPr>
                <w:sz w:val="20"/>
                <w:szCs w:val="20"/>
                <w:lang w:val="fr-FR"/>
              </w:rPr>
              <w:t>sous-compte</w:t>
            </w:r>
            <w:proofErr w:type="spellEnd"/>
            <w:r w:rsidRPr="003E3845">
              <w:rPr>
                <w:sz w:val="20"/>
                <w:szCs w:val="20"/>
                <w:lang w:val="fr-FR"/>
              </w:rPr>
              <w:t xml:space="preserve"> pour les épargnants affiliés au PEPP de base en voie de liquidation qui changent d’État membre de résidence.</w:t>
            </w:r>
          </w:p>
        </w:tc>
      </w:tr>
      <w:tr w:rsidR="00D02AF7" w:rsidRPr="0061324A" w:rsidTr="00AD3A49">
        <w:trPr>
          <w:cantSplit/>
        </w:trPr>
        <w:tc>
          <w:tcPr>
            <w:tcW w:w="1696" w:type="dxa"/>
          </w:tcPr>
          <w:p w:rsidR="00D02AF7" w:rsidRPr="000A0C9C" w:rsidRDefault="00D02AF7" w:rsidP="00AD3A49">
            <w:pPr>
              <w:pStyle w:val="Default"/>
              <w:rPr>
                <w:sz w:val="20"/>
                <w:szCs w:val="20"/>
                <w:lang w:val="fr-FR"/>
              </w:rPr>
            </w:pPr>
            <w:r w:rsidRPr="003E3845">
              <w:rPr>
                <w:sz w:val="20"/>
                <w:szCs w:val="20"/>
                <w:lang w:val="fr-FR"/>
              </w:rPr>
              <w:t>C0290/R0030</w:t>
            </w:r>
          </w:p>
        </w:tc>
        <w:tc>
          <w:tcPr>
            <w:tcW w:w="2835" w:type="dxa"/>
            <w:noWrap/>
          </w:tcPr>
          <w:p w:rsidR="00D02AF7" w:rsidRPr="000A0C9C" w:rsidRDefault="00D02AF7" w:rsidP="00AD3A49">
            <w:pPr>
              <w:pStyle w:val="Default"/>
              <w:rPr>
                <w:sz w:val="20"/>
                <w:szCs w:val="20"/>
                <w:lang w:val="fr-FR"/>
              </w:rPr>
            </w:pPr>
            <w:r w:rsidRPr="003E3845">
              <w:rPr>
                <w:sz w:val="20"/>
                <w:szCs w:val="20"/>
                <w:lang w:val="fr-FR"/>
              </w:rPr>
              <w:t>Transferts effectués en vertu de l’article 20, paragraphe 5, point a), du règlement (UE) 2019/1238 pour le PEPP de base en voie de liquidation</w:t>
            </w:r>
          </w:p>
        </w:tc>
        <w:tc>
          <w:tcPr>
            <w:tcW w:w="4531" w:type="dxa"/>
          </w:tcPr>
          <w:p w:rsidR="00D02AF7" w:rsidRPr="000A0C9C" w:rsidRDefault="00D02AF7" w:rsidP="00AD3A49">
            <w:pPr>
              <w:pStyle w:val="Default"/>
              <w:rPr>
                <w:sz w:val="20"/>
                <w:szCs w:val="20"/>
                <w:lang w:val="fr-FR"/>
              </w:rPr>
            </w:pPr>
            <w:r w:rsidRPr="003E3845">
              <w:rPr>
                <w:sz w:val="20"/>
                <w:szCs w:val="20"/>
                <w:lang w:val="fr-FR"/>
              </w:rPr>
              <w:t xml:space="preserve">Montant des transferts effectués vers un autre fournisseur de PEPP en raison de l’incapacité du fournisseur actuel de créer un </w:t>
            </w:r>
            <w:proofErr w:type="spellStart"/>
            <w:r w:rsidRPr="003E3845">
              <w:rPr>
                <w:sz w:val="20"/>
                <w:szCs w:val="20"/>
                <w:lang w:val="fr-FR"/>
              </w:rPr>
              <w:t>sous-compte</w:t>
            </w:r>
            <w:proofErr w:type="spellEnd"/>
            <w:r w:rsidRPr="003E3845">
              <w:rPr>
                <w:sz w:val="20"/>
                <w:szCs w:val="20"/>
                <w:lang w:val="fr-FR"/>
              </w:rPr>
              <w:t xml:space="preserve"> pour les épargnants affiliés au PEPP de base en voie de liquidation qui changent d’État membre de résidence.</w:t>
            </w:r>
          </w:p>
        </w:tc>
      </w:tr>
      <w:tr w:rsidR="00D02AF7" w:rsidRPr="0061324A" w:rsidTr="00AD3A49">
        <w:trPr>
          <w:cantSplit/>
        </w:trPr>
        <w:tc>
          <w:tcPr>
            <w:tcW w:w="1696" w:type="dxa"/>
          </w:tcPr>
          <w:p w:rsidR="00D02AF7" w:rsidRPr="000A0C9C" w:rsidRDefault="00D02AF7" w:rsidP="00AD3A49">
            <w:pPr>
              <w:pStyle w:val="Default"/>
              <w:rPr>
                <w:sz w:val="20"/>
                <w:szCs w:val="20"/>
                <w:lang w:val="fr-FR"/>
              </w:rPr>
            </w:pPr>
            <w:r w:rsidRPr="003E3845">
              <w:rPr>
                <w:sz w:val="20"/>
                <w:szCs w:val="20"/>
                <w:lang w:val="fr-FR"/>
              </w:rPr>
              <w:t>C0300/R0030</w:t>
            </w:r>
          </w:p>
        </w:tc>
        <w:tc>
          <w:tcPr>
            <w:tcW w:w="2835" w:type="dxa"/>
            <w:noWrap/>
          </w:tcPr>
          <w:p w:rsidR="00D02AF7" w:rsidRPr="000A0C9C" w:rsidRDefault="00D02AF7" w:rsidP="00AD3A49">
            <w:pPr>
              <w:pStyle w:val="Default"/>
              <w:rPr>
                <w:sz w:val="20"/>
                <w:szCs w:val="20"/>
                <w:lang w:val="fr-FR"/>
              </w:rPr>
            </w:pPr>
            <w:r w:rsidRPr="003E3845">
              <w:rPr>
                <w:sz w:val="20"/>
                <w:szCs w:val="20"/>
                <w:lang w:val="fr-FR"/>
              </w:rPr>
              <w:t>Nombre de demandes de changement de fournisseur faites par des épargnants PEPP en vertu de l’article 52, paragraphe 3, du règlement (UE) 2019/1238 pour le PEPP de base en voie de liquidation</w:t>
            </w:r>
          </w:p>
        </w:tc>
        <w:tc>
          <w:tcPr>
            <w:tcW w:w="4531" w:type="dxa"/>
          </w:tcPr>
          <w:p w:rsidR="00D02AF7" w:rsidRPr="000A0C9C" w:rsidRDefault="00D02AF7" w:rsidP="00AD3A49">
            <w:pPr>
              <w:pStyle w:val="Default"/>
              <w:rPr>
                <w:sz w:val="20"/>
                <w:szCs w:val="20"/>
                <w:lang w:val="fr-FR"/>
              </w:rPr>
            </w:pPr>
            <w:r w:rsidRPr="003E3845">
              <w:rPr>
                <w:sz w:val="20"/>
                <w:szCs w:val="20"/>
                <w:lang w:val="fr-FR"/>
              </w:rPr>
              <w:t>Nombre de demandes de changement de fournisseur de PEPP faites en vertu de l’article 52, paragraphe 3, du règlement (UE) 2019/1238 par des épargnants affiliés au PEPP de base en voie de liquidation.</w:t>
            </w:r>
          </w:p>
        </w:tc>
      </w:tr>
      <w:tr w:rsidR="00D02AF7" w:rsidRPr="0061324A" w:rsidTr="00AD3A49">
        <w:trPr>
          <w:cantSplit/>
        </w:trPr>
        <w:tc>
          <w:tcPr>
            <w:tcW w:w="1696" w:type="dxa"/>
          </w:tcPr>
          <w:p w:rsidR="00D02AF7" w:rsidRPr="000A0C9C" w:rsidRDefault="00D02AF7" w:rsidP="00AD3A49">
            <w:pPr>
              <w:pStyle w:val="Default"/>
              <w:rPr>
                <w:sz w:val="20"/>
                <w:szCs w:val="20"/>
                <w:lang w:val="fr-FR"/>
              </w:rPr>
            </w:pPr>
            <w:r w:rsidRPr="00E34055">
              <w:rPr>
                <w:sz w:val="20"/>
                <w:szCs w:val="20"/>
                <w:lang w:val="fr-FR"/>
              </w:rPr>
              <w:t>C0310/R0030</w:t>
            </w:r>
          </w:p>
        </w:tc>
        <w:tc>
          <w:tcPr>
            <w:tcW w:w="2835" w:type="dxa"/>
            <w:noWrap/>
          </w:tcPr>
          <w:p w:rsidR="00D02AF7" w:rsidRPr="000A0C9C" w:rsidRDefault="00D02AF7" w:rsidP="00AD3A49">
            <w:pPr>
              <w:pStyle w:val="Default"/>
              <w:rPr>
                <w:sz w:val="20"/>
                <w:szCs w:val="20"/>
                <w:lang w:val="fr-FR"/>
              </w:rPr>
            </w:pPr>
            <w:r w:rsidRPr="00E34055">
              <w:rPr>
                <w:sz w:val="20"/>
                <w:szCs w:val="20"/>
                <w:lang w:val="fr-FR"/>
              </w:rPr>
              <w:t>Transferts effectués en vertu de l’article 52, paragraphe 3, du règlement (UE) 2019/1238 pour le PEPP de base en voie de liquidation</w:t>
            </w:r>
          </w:p>
        </w:tc>
        <w:tc>
          <w:tcPr>
            <w:tcW w:w="4531" w:type="dxa"/>
          </w:tcPr>
          <w:p w:rsidR="00D02AF7" w:rsidRPr="000A0C9C" w:rsidRDefault="00D02AF7" w:rsidP="00AD3A49">
            <w:pPr>
              <w:pStyle w:val="Default"/>
              <w:rPr>
                <w:sz w:val="20"/>
                <w:szCs w:val="20"/>
                <w:lang w:val="fr-FR"/>
              </w:rPr>
            </w:pPr>
            <w:r w:rsidRPr="00E34055">
              <w:rPr>
                <w:sz w:val="20"/>
                <w:szCs w:val="20"/>
                <w:lang w:val="fr-FR"/>
              </w:rPr>
              <w:t>Montant des transferts effectués vers un autre fournisseur de PEPP en vertu de l’article 52, paragraphe 3, du règlement (UE) 2019/1238 à la demande d’épargnants affiliés au PEPP de base en voie de liquidation.</w:t>
            </w:r>
          </w:p>
        </w:tc>
      </w:tr>
      <w:tr w:rsidR="00D02AF7" w:rsidRPr="0061324A" w:rsidTr="00AD3A49">
        <w:trPr>
          <w:cantSplit/>
        </w:trPr>
        <w:tc>
          <w:tcPr>
            <w:tcW w:w="1696" w:type="dxa"/>
          </w:tcPr>
          <w:p w:rsidR="00D02AF7" w:rsidRPr="006247DC" w:rsidRDefault="00D02AF7" w:rsidP="00AD3A49">
            <w:pPr>
              <w:pStyle w:val="Default"/>
              <w:rPr>
                <w:sz w:val="20"/>
                <w:szCs w:val="20"/>
                <w:lang w:val="fr-FR"/>
              </w:rPr>
            </w:pPr>
            <w:r w:rsidRPr="00E34055">
              <w:rPr>
                <w:sz w:val="20"/>
                <w:szCs w:val="20"/>
                <w:lang w:val="fr-FR"/>
              </w:rPr>
              <w:t>C0320/R0030</w:t>
            </w:r>
          </w:p>
        </w:tc>
        <w:tc>
          <w:tcPr>
            <w:tcW w:w="2835" w:type="dxa"/>
            <w:noWrap/>
          </w:tcPr>
          <w:p w:rsidR="00D02AF7" w:rsidRPr="000A0C9C" w:rsidRDefault="00D02AF7" w:rsidP="00AD3A49">
            <w:pPr>
              <w:pStyle w:val="Default"/>
              <w:rPr>
                <w:sz w:val="20"/>
                <w:szCs w:val="20"/>
                <w:lang w:val="fr-FR"/>
              </w:rPr>
            </w:pPr>
            <w:r w:rsidRPr="00E34055">
              <w:rPr>
                <w:sz w:val="20"/>
                <w:szCs w:val="20"/>
                <w:lang w:val="fr-FR"/>
              </w:rPr>
              <w:t>Actifs du PEPP de base en voie de liquidation</w:t>
            </w:r>
          </w:p>
        </w:tc>
        <w:tc>
          <w:tcPr>
            <w:tcW w:w="4531" w:type="dxa"/>
          </w:tcPr>
          <w:p w:rsidR="00D02AF7" w:rsidRPr="000A0C9C" w:rsidRDefault="00D02AF7" w:rsidP="00AD3A49">
            <w:pPr>
              <w:pStyle w:val="Default"/>
              <w:rPr>
                <w:sz w:val="20"/>
                <w:szCs w:val="20"/>
                <w:lang w:val="fr-FR"/>
              </w:rPr>
            </w:pPr>
            <w:r w:rsidRPr="00E34055">
              <w:rPr>
                <w:sz w:val="20"/>
                <w:szCs w:val="20"/>
                <w:lang w:val="fr-FR"/>
              </w:rPr>
              <w:t>Montant total des actifs liés au PEPP de base en voie de liquidation.</w:t>
            </w:r>
          </w:p>
        </w:tc>
      </w:tr>
      <w:tr w:rsidR="00D02AF7" w:rsidRPr="0061324A" w:rsidTr="00AD3A49">
        <w:trPr>
          <w:cantSplit/>
        </w:trPr>
        <w:tc>
          <w:tcPr>
            <w:tcW w:w="1696" w:type="dxa"/>
          </w:tcPr>
          <w:p w:rsidR="00D02AF7" w:rsidRPr="006247DC" w:rsidRDefault="00D02AF7" w:rsidP="00AD3A49">
            <w:pPr>
              <w:pStyle w:val="Default"/>
              <w:rPr>
                <w:sz w:val="20"/>
                <w:szCs w:val="20"/>
                <w:lang w:val="fr-FR"/>
              </w:rPr>
            </w:pPr>
            <w:r w:rsidRPr="00E34055">
              <w:rPr>
                <w:sz w:val="20"/>
                <w:szCs w:val="20"/>
                <w:lang w:val="fr-FR"/>
              </w:rPr>
              <w:t>C0330/R0030</w:t>
            </w:r>
          </w:p>
        </w:tc>
        <w:tc>
          <w:tcPr>
            <w:tcW w:w="2835" w:type="dxa"/>
            <w:noWrap/>
          </w:tcPr>
          <w:p w:rsidR="00D02AF7" w:rsidRPr="000A0C9C" w:rsidRDefault="00D02AF7" w:rsidP="00AD3A49">
            <w:pPr>
              <w:pStyle w:val="Default"/>
              <w:rPr>
                <w:sz w:val="20"/>
                <w:szCs w:val="20"/>
                <w:lang w:val="fr-FR"/>
              </w:rPr>
            </w:pPr>
            <w:r w:rsidRPr="00E34055">
              <w:rPr>
                <w:sz w:val="20"/>
                <w:szCs w:val="20"/>
                <w:lang w:val="fr-FR"/>
              </w:rPr>
              <w:t>Obligations liées au PEPP de base en voie de liquidation</w:t>
            </w:r>
          </w:p>
        </w:tc>
        <w:tc>
          <w:tcPr>
            <w:tcW w:w="4531" w:type="dxa"/>
          </w:tcPr>
          <w:p w:rsidR="00D02AF7" w:rsidRPr="000A0C9C" w:rsidRDefault="00D02AF7" w:rsidP="00AD3A49">
            <w:pPr>
              <w:pStyle w:val="Default"/>
              <w:rPr>
                <w:sz w:val="20"/>
                <w:szCs w:val="20"/>
                <w:lang w:val="fr-FR"/>
              </w:rPr>
            </w:pPr>
            <w:r w:rsidRPr="00E34055">
              <w:rPr>
                <w:sz w:val="20"/>
                <w:szCs w:val="20"/>
                <w:lang w:val="fr-FR"/>
              </w:rPr>
              <w:t>Montant total des provisions techniques et autres passifs, le cas échéant, liés au PEPP de base en voie de liquidation.</w:t>
            </w:r>
          </w:p>
        </w:tc>
      </w:tr>
      <w:tr w:rsidR="00D02AF7" w:rsidRPr="0061324A" w:rsidTr="00AD3A49">
        <w:trPr>
          <w:cantSplit/>
        </w:trPr>
        <w:tc>
          <w:tcPr>
            <w:tcW w:w="1696" w:type="dxa"/>
          </w:tcPr>
          <w:p w:rsidR="00D02AF7" w:rsidRPr="000A0C9C" w:rsidRDefault="00D02AF7" w:rsidP="00AD3A49">
            <w:pPr>
              <w:pStyle w:val="Default"/>
              <w:rPr>
                <w:sz w:val="20"/>
                <w:szCs w:val="20"/>
                <w:lang w:val="fr-FR"/>
              </w:rPr>
            </w:pPr>
            <w:r w:rsidRPr="00E34055">
              <w:rPr>
                <w:sz w:val="20"/>
                <w:szCs w:val="20"/>
                <w:lang w:val="fr-FR"/>
              </w:rPr>
              <w:t>C0340/R0030</w:t>
            </w:r>
          </w:p>
        </w:tc>
        <w:tc>
          <w:tcPr>
            <w:tcW w:w="2835" w:type="dxa"/>
            <w:noWrap/>
          </w:tcPr>
          <w:p w:rsidR="00D02AF7" w:rsidRPr="000A0C9C" w:rsidRDefault="00D02AF7" w:rsidP="00AD3A49">
            <w:pPr>
              <w:pStyle w:val="Default"/>
              <w:rPr>
                <w:sz w:val="20"/>
                <w:szCs w:val="20"/>
                <w:lang w:val="fr-FR"/>
              </w:rPr>
            </w:pPr>
            <w:r w:rsidRPr="00E34055">
              <w:rPr>
                <w:sz w:val="20"/>
                <w:szCs w:val="20"/>
                <w:lang w:val="fr-FR"/>
              </w:rPr>
              <w:t>Nombre de réclamations liées au PEPP de base en voie de liquidation</w:t>
            </w:r>
          </w:p>
        </w:tc>
        <w:tc>
          <w:tcPr>
            <w:tcW w:w="4531" w:type="dxa"/>
          </w:tcPr>
          <w:p w:rsidR="00D02AF7" w:rsidRPr="000A0C9C" w:rsidRDefault="00D02AF7" w:rsidP="00AD3A49">
            <w:pPr>
              <w:pStyle w:val="Default"/>
              <w:rPr>
                <w:sz w:val="20"/>
                <w:szCs w:val="20"/>
                <w:lang w:val="fr-FR"/>
              </w:rPr>
            </w:pPr>
            <w:r w:rsidRPr="00E34055">
              <w:rPr>
                <w:sz w:val="20"/>
                <w:szCs w:val="20"/>
                <w:lang w:val="fr-FR"/>
              </w:rPr>
              <w:t>Nombre total de réclamations reçues pour le PEPP de base en voie de liquidation sur la période de déclaration.</w:t>
            </w:r>
          </w:p>
        </w:tc>
      </w:tr>
      <w:tr w:rsidR="00D02AF7" w:rsidRPr="0061324A" w:rsidTr="00AD3A49">
        <w:trPr>
          <w:cantSplit/>
        </w:trPr>
        <w:tc>
          <w:tcPr>
            <w:tcW w:w="1696" w:type="dxa"/>
          </w:tcPr>
          <w:p w:rsidR="00D02AF7" w:rsidRPr="000A0C9C" w:rsidRDefault="00D02AF7" w:rsidP="00AD3A49">
            <w:pPr>
              <w:pStyle w:val="Default"/>
              <w:rPr>
                <w:sz w:val="20"/>
                <w:szCs w:val="20"/>
                <w:lang w:val="fr-FR"/>
              </w:rPr>
            </w:pPr>
            <w:r w:rsidRPr="00400D50">
              <w:rPr>
                <w:sz w:val="20"/>
                <w:szCs w:val="20"/>
                <w:lang w:val="fr-FR"/>
              </w:rPr>
              <w:t>C0150/R0050</w:t>
            </w:r>
          </w:p>
        </w:tc>
        <w:tc>
          <w:tcPr>
            <w:tcW w:w="2835" w:type="dxa"/>
            <w:noWrap/>
          </w:tcPr>
          <w:p w:rsidR="00D02AF7" w:rsidRPr="000A0C9C" w:rsidRDefault="00D02AF7" w:rsidP="00AD3A49">
            <w:pPr>
              <w:pStyle w:val="Default"/>
              <w:rPr>
                <w:sz w:val="20"/>
                <w:szCs w:val="20"/>
                <w:lang w:val="fr-FR"/>
              </w:rPr>
            </w:pPr>
            <w:r w:rsidRPr="00400D50">
              <w:rPr>
                <w:sz w:val="20"/>
                <w:szCs w:val="20"/>
                <w:lang w:val="fr-FR"/>
              </w:rPr>
              <w:t>Nombre d’épargnants PEPP ayant souscrit aux autres options d’investissement commercialisées dans le pays</w:t>
            </w:r>
          </w:p>
        </w:tc>
        <w:tc>
          <w:tcPr>
            <w:tcW w:w="4531" w:type="dxa"/>
          </w:tcPr>
          <w:p w:rsidR="00D02AF7" w:rsidRPr="000A0C9C" w:rsidRDefault="00D02AF7" w:rsidP="00AD3A49">
            <w:pPr>
              <w:pStyle w:val="Default"/>
              <w:rPr>
                <w:sz w:val="20"/>
                <w:szCs w:val="20"/>
                <w:lang w:val="fr-FR"/>
              </w:rPr>
            </w:pPr>
            <w:r w:rsidRPr="00400D50">
              <w:rPr>
                <w:sz w:val="20"/>
                <w:szCs w:val="20"/>
                <w:lang w:val="fr-FR"/>
              </w:rPr>
              <w:t>Nombre d’épargnants PEPP ayant souscrit aux autres options d’investissement commercialisées dans le pays.</w:t>
            </w:r>
          </w:p>
        </w:tc>
      </w:tr>
      <w:tr w:rsidR="00D02AF7" w:rsidRPr="0061324A" w:rsidTr="00AD3A49">
        <w:trPr>
          <w:cantSplit/>
        </w:trPr>
        <w:tc>
          <w:tcPr>
            <w:tcW w:w="1696" w:type="dxa"/>
          </w:tcPr>
          <w:p w:rsidR="00D02AF7" w:rsidRPr="000A0C9C" w:rsidRDefault="00D02AF7" w:rsidP="00AD3A49">
            <w:pPr>
              <w:pStyle w:val="Default"/>
              <w:rPr>
                <w:sz w:val="20"/>
                <w:szCs w:val="20"/>
                <w:lang w:val="fr-FR"/>
              </w:rPr>
            </w:pPr>
            <w:r w:rsidRPr="00400D50">
              <w:rPr>
                <w:sz w:val="20"/>
                <w:szCs w:val="20"/>
                <w:lang w:val="fr-FR"/>
              </w:rPr>
              <w:t>C0160/R0050</w:t>
            </w:r>
          </w:p>
        </w:tc>
        <w:tc>
          <w:tcPr>
            <w:tcW w:w="2835" w:type="dxa"/>
            <w:noWrap/>
          </w:tcPr>
          <w:p w:rsidR="00D02AF7" w:rsidRPr="000A0C9C" w:rsidRDefault="00D02AF7" w:rsidP="00AD3A49">
            <w:pPr>
              <w:pStyle w:val="Default"/>
              <w:rPr>
                <w:sz w:val="20"/>
                <w:szCs w:val="20"/>
                <w:lang w:val="fr-FR"/>
              </w:rPr>
            </w:pPr>
            <w:r w:rsidRPr="00400D50">
              <w:rPr>
                <w:sz w:val="20"/>
                <w:szCs w:val="20"/>
                <w:lang w:val="fr-FR"/>
              </w:rPr>
              <w:t>Total des cotisations brutes reçues pour les autres options d’investissement commercialisées dans le pays</w:t>
            </w:r>
          </w:p>
        </w:tc>
        <w:tc>
          <w:tcPr>
            <w:tcW w:w="4531" w:type="dxa"/>
          </w:tcPr>
          <w:p w:rsidR="00D02AF7" w:rsidRPr="000A0C9C" w:rsidRDefault="00D02AF7" w:rsidP="00AD3A49">
            <w:pPr>
              <w:pStyle w:val="Default"/>
              <w:rPr>
                <w:sz w:val="20"/>
                <w:szCs w:val="20"/>
                <w:lang w:val="fr-FR"/>
              </w:rPr>
            </w:pPr>
            <w:r w:rsidRPr="00400D50">
              <w:rPr>
                <w:sz w:val="20"/>
                <w:szCs w:val="20"/>
                <w:lang w:val="fr-FR"/>
              </w:rPr>
              <w:t>Montant total des cotisations versées durant la période de déclaration par les épargnants PEPP ayant souscrit aux autres options d’investissement commercialisées dans le pays.</w:t>
            </w:r>
          </w:p>
        </w:tc>
      </w:tr>
      <w:tr w:rsidR="00D02AF7" w:rsidRPr="0061324A" w:rsidTr="00AD3A49">
        <w:trPr>
          <w:cantSplit/>
        </w:trPr>
        <w:tc>
          <w:tcPr>
            <w:tcW w:w="1696" w:type="dxa"/>
          </w:tcPr>
          <w:p w:rsidR="00D02AF7" w:rsidRPr="000A0C9C" w:rsidRDefault="00D02AF7" w:rsidP="00AD3A49">
            <w:pPr>
              <w:pStyle w:val="Default"/>
              <w:rPr>
                <w:sz w:val="20"/>
                <w:szCs w:val="20"/>
                <w:lang w:val="fr-FR"/>
              </w:rPr>
            </w:pPr>
            <w:r w:rsidRPr="00400D50">
              <w:rPr>
                <w:sz w:val="20"/>
                <w:szCs w:val="20"/>
                <w:lang w:val="fr-FR"/>
              </w:rPr>
              <w:t>C0170/R0050</w:t>
            </w:r>
          </w:p>
        </w:tc>
        <w:tc>
          <w:tcPr>
            <w:tcW w:w="2835" w:type="dxa"/>
            <w:noWrap/>
          </w:tcPr>
          <w:p w:rsidR="00D02AF7" w:rsidRPr="000A0C9C" w:rsidRDefault="00D02AF7" w:rsidP="00AD3A49">
            <w:pPr>
              <w:pStyle w:val="Default"/>
              <w:rPr>
                <w:sz w:val="20"/>
                <w:szCs w:val="20"/>
                <w:lang w:val="fr-FR"/>
              </w:rPr>
            </w:pPr>
            <w:r w:rsidRPr="00400D50">
              <w:rPr>
                <w:sz w:val="20"/>
                <w:szCs w:val="20"/>
                <w:lang w:val="fr-FR"/>
              </w:rPr>
              <w:t>Rendement brut total des autres options d’investissement commercialisées dans le pays</w:t>
            </w:r>
          </w:p>
        </w:tc>
        <w:tc>
          <w:tcPr>
            <w:tcW w:w="4531" w:type="dxa"/>
          </w:tcPr>
          <w:p w:rsidR="00D02AF7" w:rsidRPr="000A0C9C" w:rsidRDefault="00D02AF7" w:rsidP="00AD3A49">
            <w:pPr>
              <w:pStyle w:val="Default"/>
              <w:rPr>
                <w:sz w:val="20"/>
                <w:szCs w:val="20"/>
                <w:lang w:val="fr-FR"/>
              </w:rPr>
            </w:pPr>
            <w:r w:rsidRPr="00400D50">
              <w:rPr>
                <w:sz w:val="20"/>
                <w:szCs w:val="20"/>
                <w:lang w:val="fr-FR"/>
              </w:rPr>
              <w:t>Montant total des rendements bruts d’investissements alloués aux épargnants. Il s’agit du montant brut, avant déduction des coûts d’investissement des autres options d’investissement commercialisées dans le pays.</w:t>
            </w:r>
          </w:p>
        </w:tc>
      </w:tr>
      <w:tr w:rsidR="00D02AF7" w:rsidRPr="0061324A" w:rsidTr="00AD3A49">
        <w:trPr>
          <w:cantSplit/>
        </w:trPr>
        <w:tc>
          <w:tcPr>
            <w:tcW w:w="1696" w:type="dxa"/>
          </w:tcPr>
          <w:p w:rsidR="00D02AF7" w:rsidRPr="000A0C9C" w:rsidRDefault="00D02AF7" w:rsidP="00AD3A49">
            <w:pPr>
              <w:pStyle w:val="Default"/>
              <w:rPr>
                <w:sz w:val="20"/>
                <w:szCs w:val="20"/>
                <w:lang w:val="fr-FR"/>
              </w:rPr>
            </w:pPr>
            <w:r w:rsidRPr="00400D50">
              <w:rPr>
                <w:sz w:val="20"/>
                <w:szCs w:val="20"/>
                <w:lang w:val="fr-FR"/>
              </w:rPr>
              <w:t>C0190/R0050</w:t>
            </w:r>
          </w:p>
        </w:tc>
        <w:tc>
          <w:tcPr>
            <w:tcW w:w="2835" w:type="dxa"/>
            <w:noWrap/>
          </w:tcPr>
          <w:p w:rsidR="00D02AF7" w:rsidRPr="000A0C9C" w:rsidRDefault="00D02AF7" w:rsidP="00AD3A49">
            <w:pPr>
              <w:pStyle w:val="Default"/>
              <w:rPr>
                <w:sz w:val="20"/>
                <w:szCs w:val="20"/>
                <w:lang w:val="fr-FR"/>
              </w:rPr>
            </w:pPr>
            <w:r w:rsidRPr="00400D50">
              <w:rPr>
                <w:sz w:val="20"/>
                <w:szCs w:val="20"/>
                <w:lang w:val="fr-FR"/>
              </w:rPr>
              <w:t>Total des prestations versées au titre des autres options d’investissement commercialisées dans le pays</w:t>
            </w:r>
          </w:p>
        </w:tc>
        <w:tc>
          <w:tcPr>
            <w:tcW w:w="4531" w:type="dxa"/>
          </w:tcPr>
          <w:p w:rsidR="00D02AF7" w:rsidRPr="000A0C9C" w:rsidRDefault="00D02AF7" w:rsidP="00AD3A49">
            <w:pPr>
              <w:pStyle w:val="Default"/>
              <w:rPr>
                <w:sz w:val="20"/>
                <w:szCs w:val="20"/>
                <w:lang w:val="fr-FR"/>
              </w:rPr>
            </w:pPr>
            <w:r w:rsidRPr="00400D50">
              <w:rPr>
                <w:sz w:val="20"/>
                <w:szCs w:val="20"/>
                <w:lang w:val="fr-FR"/>
              </w:rPr>
              <w:t>Montant total des prestations versées durant la période de déclaration aux épargnants PEPP ayant souscrit aux autres options d’investissement commercialisées dans le pays. Ce montant inclut toutes les prestations versées, notamment au titre des risques biométriques et des autres options disponibles pour le produit.</w:t>
            </w:r>
          </w:p>
        </w:tc>
      </w:tr>
      <w:tr w:rsidR="00D02AF7" w:rsidRPr="0061324A" w:rsidTr="00AD3A49">
        <w:trPr>
          <w:cantSplit/>
        </w:trPr>
        <w:tc>
          <w:tcPr>
            <w:tcW w:w="1696" w:type="dxa"/>
          </w:tcPr>
          <w:p w:rsidR="00D02AF7" w:rsidRPr="00903712" w:rsidRDefault="00D02AF7" w:rsidP="00AD3A49">
            <w:pPr>
              <w:pStyle w:val="Default"/>
              <w:rPr>
                <w:sz w:val="20"/>
                <w:szCs w:val="20"/>
                <w:lang w:val="fr-FR"/>
              </w:rPr>
            </w:pPr>
            <w:r w:rsidRPr="00400D50">
              <w:rPr>
                <w:sz w:val="20"/>
                <w:szCs w:val="20"/>
                <w:lang w:val="fr-FR"/>
              </w:rPr>
              <w:t>C0200/R0050</w:t>
            </w:r>
          </w:p>
        </w:tc>
        <w:tc>
          <w:tcPr>
            <w:tcW w:w="2835" w:type="dxa"/>
            <w:noWrap/>
          </w:tcPr>
          <w:p w:rsidR="00D02AF7" w:rsidRPr="00903712" w:rsidRDefault="00D02AF7" w:rsidP="00AD3A49">
            <w:pPr>
              <w:pStyle w:val="Default"/>
              <w:rPr>
                <w:sz w:val="20"/>
                <w:szCs w:val="20"/>
                <w:lang w:val="fr-FR"/>
              </w:rPr>
            </w:pPr>
            <w:r w:rsidRPr="00400D50">
              <w:rPr>
                <w:sz w:val="20"/>
                <w:szCs w:val="20"/>
                <w:lang w:val="fr-FR"/>
              </w:rPr>
              <w:t>Prestations de retraite au titre des autres options d’investissement commercialisées dans le pays</w:t>
            </w:r>
          </w:p>
        </w:tc>
        <w:tc>
          <w:tcPr>
            <w:tcW w:w="4531" w:type="dxa"/>
          </w:tcPr>
          <w:p w:rsidR="00D02AF7" w:rsidRPr="00903712" w:rsidRDefault="00D02AF7" w:rsidP="00AD3A49">
            <w:pPr>
              <w:pStyle w:val="Default"/>
              <w:rPr>
                <w:sz w:val="20"/>
                <w:szCs w:val="20"/>
                <w:lang w:val="fr-FR"/>
              </w:rPr>
            </w:pPr>
            <w:r w:rsidRPr="00400D50">
              <w:rPr>
                <w:sz w:val="20"/>
                <w:szCs w:val="20"/>
                <w:lang w:val="fr-FR"/>
              </w:rPr>
              <w:t>Montant des prestations versées durant la période de déclaration aux épargnants PEPP ayant souscrit aux autres options d’investissement commercialisées dans le pays. Ce montant ne comprend que les prestations de retraite.</w:t>
            </w:r>
          </w:p>
        </w:tc>
      </w:tr>
      <w:tr w:rsidR="00D02AF7" w:rsidRPr="0061324A" w:rsidTr="00AD3A49">
        <w:trPr>
          <w:cantSplit/>
        </w:trPr>
        <w:tc>
          <w:tcPr>
            <w:tcW w:w="1696" w:type="dxa"/>
          </w:tcPr>
          <w:p w:rsidR="00D02AF7" w:rsidRPr="00903712" w:rsidRDefault="00D02AF7" w:rsidP="00AD3A49">
            <w:pPr>
              <w:pStyle w:val="Default"/>
              <w:rPr>
                <w:sz w:val="20"/>
                <w:szCs w:val="20"/>
                <w:lang w:val="fr-FR"/>
              </w:rPr>
            </w:pPr>
            <w:r w:rsidRPr="00E34630">
              <w:rPr>
                <w:sz w:val="20"/>
                <w:szCs w:val="20"/>
                <w:lang w:val="fr-FR"/>
              </w:rPr>
              <w:t>C0210/R0050</w:t>
            </w:r>
          </w:p>
        </w:tc>
        <w:tc>
          <w:tcPr>
            <w:tcW w:w="2835" w:type="dxa"/>
            <w:noWrap/>
          </w:tcPr>
          <w:p w:rsidR="00D02AF7" w:rsidRPr="00903712" w:rsidRDefault="00D02AF7" w:rsidP="00AD3A49">
            <w:pPr>
              <w:pStyle w:val="Default"/>
              <w:rPr>
                <w:sz w:val="20"/>
                <w:szCs w:val="20"/>
                <w:lang w:val="fr-FR"/>
              </w:rPr>
            </w:pPr>
            <w:r w:rsidRPr="00E34630">
              <w:rPr>
                <w:sz w:val="20"/>
                <w:szCs w:val="20"/>
                <w:lang w:val="fr-FR"/>
              </w:rPr>
              <w:t>Prestations de retraite versées sous forme de rente au titre des autres options d’investissement commercialisées dans le pays</w:t>
            </w:r>
          </w:p>
        </w:tc>
        <w:tc>
          <w:tcPr>
            <w:tcW w:w="4531" w:type="dxa"/>
          </w:tcPr>
          <w:p w:rsidR="00D02AF7" w:rsidRPr="00903712" w:rsidRDefault="00D02AF7" w:rsidP="00AD3A49">
            <w:pPr>
              <w:pStyle w:val="Default"/>
              <w:rPr>
                <w:sz w:val="20"/>
                <w:szCs w:val="20"/>
                <w:lang w:val="fr-FR"/>
              </w:rPr>
            </w:pPr>
            <w:r w:rsidRPr="00E34630">
              <w:rPr>
                <w:sz w:val="20"/>
                <w:szCs w:val="20"/>
                <w:lang w:val="fr-FR"/>
              </w:rPr>
              <w:t>Montant total des prestations versées durant la période de déclaration aux épargnants PEPP ayant souscrit aux autres options d’investissement commercialisées dans le pays. Ce montant ne comprend que les prestations de retraite versées sous forme de rente.</w:t>
            </w:r>
          </w:p>
        </w:tc>
      </w:tr>
      <w:tr w:rsidR="00D02AF7" w:rsidRPr="0061324A" w:rsidTr="00AD3A49">
        <w:trPr>
          <w:cantSplit/>
        </w:trPr>
        <w:tc>
          <w:tcPr>
            <w:tcW w:w="1696" w:type="dxa"/>
          </w:tcPr>
          <w:p w:rsidR="00D02AF7" w:rsidRPr="00903712" w:rsidRDefault="00D02AF7" w:rsidP="00AD3A49">
            <w:pPr>
              <w:pStyle w:val="Default"/>
              <w:rPr>
                <w:sz w:val="20"/>
                <w:szCs w:val="20"/>
                <w:lang w:val="fr-FR"/>
              </w:rPr>
            </w:pPr>
            <w:r w:rsidRPr="00E34630">
              <w:rPr>
                <w:sz w:val="20"/>
                <w:szCs w:val="20"/>
                <w:lang w:val="fr-FR"/>
              </w:rPr>
              <w:t>C0220/R0050</w:t>
            </w:r>
          </w:p>
        </w:tc>
        <w:tc>
          <w:tcPr>
            <w:tcW w:w="2835" w:type="dxa"/>
            <w:noWrap/>
          </w:tcPr>
          <w:p w:rsidR="00D02AF7" w:rsidRPr="00903712" w:rsidRDefault="00D02AF7" w:rsidP="00AD3A49">
            <w:pPr>
              <w:pStyle w:val="Default"/>
              <w:rPr>
                <w:sz w:val="20"/>
                <w:szCs w:val="20"/>
                <w:lang w:val="fr-FR"/>
              </w:rPr>
            </w:pPr>
            <w:r w:rsidRPr="00E34630">
              <w:rPr>
                <w:sz w:val="20"/>
                <w:szCs w:val="20"/>
                <w:lang w:val="fr-FR"/>
              </w:rPr>
              <w:t>Prestations de retraite versées sous forme de capital unique au titre des autres options d’investissement commercialisées dans le pays</w:t>
            </w:r>
          </w:p>
        </w:tc>
        <w:tc>
          <w:tcPr>
            <w:tcW w:w="4531" w:type="dxa"/>
          </w:tcPr>
          <w:p w:rsidR="00D02AF7" w:rsidRPr="00903712" w:rsidRDefault="00D02AF7" w:rsidP="00AD3A49">
            <w:pPr>
              <w:pStyle w:val="Default"/>
              <w:rPr>
                <w:sz w:val="20"/>
                <w:szCs w:val="20"/>
                <w:lang w:val="fr-FR"/>
              </w:rPr>
            </w:pPr>
            <w:r w:rsidRPr="00E34630">
              <w:rPr>
                <w:sz w:val="20"/>
                <w:szCs w:val="20"/>
                <w:lang w:val="fr-FR"/>
              </w:rPr>
              <w:t>Montant total des prestations versées durant la période de déclaration aux épargnants PEPP ayant souscrit aux autres options d’investissement commercialisées dans le pays. Ce montant ne comprend que les prestations de retraite versées en une fois.</w:t>
            </w:r>
          </w:p>
        </w:tc>
      </w:tr>
      <w:tr w:rsidR="00D02AF7" w:rsidRPr="0061324A" w:rsidTr="00AD3A49">
        <w:trPr>
          <w:cantSplit/>
        </w:trPr>
        <w:tc>
          <w:tcPr>
            <w:tcW w:w="1696" w:type="dxa"/>
          </w:tcPr>
          <w:p w:rsidR="00D02AF7" w:rsidRPr="00903712" w:rsidRDefault="00D02AF7" w:rsidP="00AD3A49">
            <w:pPr>
              <w:pStyle w:val="Default"/>
              <w:rPr>
                <w:sz w:val="20"/>
                <w:szCs w:val="20"/>
                <w:lang w:val="fr-FR"/>
              </w:rPr>
            </w:pPr>
            <w:r w:rsidRPr="00E34630">
              <w:rPr>
                <w:sz w:val="20"/>
                <w:szCs w:val="20"/>
                <w:lang w:val="fr-FR"/>
              </w:rPr>
              <w:t>C0230/R0050</w:t>
            </w:r>
          </w:p>
        </w:tc>
        <w:tc>
          <w:tcPr>
            <w:tcW w:w="2835" w:type="dxa"/>
            <w:noWrap/>
          </w:tcPr>
          <w:p w:rsidR="00D02AF7" w:rsidRPr="00903712" w:rsidRDefault="00D02AF7" w:rsidP="00AD3A49">
            <w:pPr>
              <w:pStyle w:val="Default"/>
              <w:rPr>
                <w:sz w:val="20"/>
                <w:szCs w:val="20"/>
                <w:lang w:val="fr-FR"/>
              </w:rPr>
            </w:pPr>
            <w:r w:rsidRPr="00E34630">
              <w:rPr>
                <w:sz w:val="20"/>
                <w:szCs w:val="20"/>
                <w:lang w:val="fr-FR"/>
              </w:rPr>
              <w:t>Prestations de retraite perçues sous forme de retraits au titre des autres options d’investissement commercialisées dans le pays</w:t>
            </w:r>
          </w:p>
        </w:tc>
        <w:tc>
          <w:tcPr>
            <w:tcW w:w="4531" w:type="dxa"/>
          </w:tcPr>
          <w:p w:rsidR="00D02AF7" w:rsidRPr="00903712" w:rsidRDefault="00D02AF7" w:rsidP="00AD3A49">
            <w:pPr>
              <w:pStyle w:val="Default"/>
              <w:rPr>
                <w:sz w:val="20"/>
                <w:szCs w:val="20"/>
                <w:lang w:val="fr-FR"/>
              </w:rPr>
            </w:pPr>
            <w:r w:rsidRPr="00E34630">
              <w:rPr>
                <w:sz w:val="20"/>
                <w:szCs w:val="20"/>
                <w:lang w:val="fr-FR"/>
              </w:rPr>
              <w:t>Montant total des prestations versées durant la période de déclaration aux épargnants PEPP ayant souscrit aux autres options d’investissement commercialisées dans le pays. Ce montant ne comprend que les prestations de retraite perçues sous la forme de retraits.</w:t>
            </w:r>
          </w:p>
        </w:tc>
      </w:tr>
      <w:tr w:rsidR="00D02AF7" w:rsidRPr="0061324A" w:rsidTr="00AD3A49">
        <w:trPr>
          <w:cantSplit/>
        </w:trPr>
        <w:tc>
          <w:tcPr>
            <w:tcW w:w="1696" w:type="dxa"/>
          </w:tcPr>
          <w:p w:rsidR="00D02AF7" w:rsidRPr="00903712" w:rsidRDefault="00D02AF7" w:rsidP="00AD3A49">
            <w:pPr>
              <w:pStyle w:val="Default"/>
              <w:rPr>
                <w:sz w:val="20"/>
                <w:szCs w:val="20"/>
                <w:lang w:val="fr-FR"/>
              </w:rPr>
            </w:pPr>
            <w:r w:rsidRPr="00E34630">
              <w:rPr>
                <w:sz w:val="20"/>
                <w:szCs w:val="20"/>
                <w:lang w:val="fr-FR"/>
              </w:rPr>
              <w:t>C0240/R0050</w:t>
            </w:r>
          </w:p>
        </w:tc>
        <w:tc>
          <w:tcPr>
            <w:tcW w:w="2835" w:type="dxa"/>
            <w:noWrap/>
          </w:tcPr>
          <w:p w:rsidR="00D02AF7" w:rsidRPr="00903712" w:rsidRDefault="00D02AF7" w:rsidP="00AD3A49">
            <w:pPr>
              <w:pStyle w:val="Default"/>
              <w:rPr>
                <w:sz w:val="20"/>
                <w:szCs w:val="20"/>
                <w:lang w:val="fr-FR"/>
              </w:rPr>
            </w:pPr>
            <w:r w:rsidRPr="00E34630">
              <w:rPr>
                <w:sz w:val="20"/>
                <w:szCs w:val="20"/>
                <w:lang w:val="fr-FR"/>
              </w:rPr>
              <w:t>Prestations autres que de retraite versées au titre des autres options d’investissement commercialisées dans le pays</w:t>
            </w:r>
          </w:p>
        </w:tc>
        <w:tc>
          <w:tcPr>
            <w:tcW w:w="4531" w:type="dxa"/>
          </w:tcPr>
          <w:p w:rsidR="00D02AF7" w:rsidRPr="00903712" w:rsidRDefault="00D02AF7" w:rsidP="00AD3A49">
            <w:pPr>
              <w:pStyle w:val="Default"/>
              <w:rPr>
                <w:sz w:val="20"/>
                <w:szCs w:val="20"/>
                <w:lang w:val="fr-FR"/>
              </w:rPr>
            </w:pPr>
            <w:r w:rsidRPr="00E34630">
              <w:rPr>
                <w:sz w:val="20"/>
                <w:szCs w:val="20"/>
                <w:lang w:val="fr-FR"/>
              </w:rPr>
              <w:t>Montant total des prestations versées durant la période de déclaration aux épargnants PEPP ayant souscrit aux autres options d’investissement commercialisées dans le pays. Ce montant n’inclut que les prestations liées à la couverture de risques autres que la retraite (risques biométriques et autres options disponibles).</w:t>
            </w:r>
          </w:p>
        </w:tc>
      </w:tr>
      <w:tr w:rsidR="00D02AF7" w:rsidRPr="0061324A" w:rsidTr="00AD3A49">
        <w:trPr>
          <w:cantSplit/>
        </w:trPr>
        <w:tc>
          <w:tcPr>
            <w:tcW w:w="1696" w:type="dxa"/>
          </w:tcPr>
          <w:p w:rsidR="00D02AF7" w:rsidRPr="00903712" w:rsidRDefault="00237807" w:rsidP="00AD3A49">
            <w:pPr>
              <w:pStyle w:val="Default"/>
              <w:rPr>
                <w:sz w:val="20"/>
                <w:szCs w:val="20"/>
                <w:lang w:val="fr-FR"/>
              </w:rPr>
            </w:pPr>
            <w:r>
              <w:rPr>
                <w:sz w:val="20"/>
                <w:szCs w:val="20"/>
                <w:lang w:val="fr-FR"/>
              </w:rPr>
              <w:t>C025</w:t>
            </w:r>
            <w:r w:rsidR="00D02AF7" w:rsidRPr="00E34630">
              <w:rPr>
                <w:sz w:val="20"/>
                <w:szCs w:val="20"/>
                <w:lang w:val="fr-FR"/>
              </w:rPr>
              <w:t>0/R0050</w:t>
            </w:r>
          </w:p>
        </w:tc>
        <w:tc>
          <w:tcPr>
            <w:tcW w:w="2835" w:type="dxa"/>
            <w:noWrap/>
          </w:tcPr>
          <w:p w:rsidR="00D02AF7" w:rsidRPr="00903712" w:rsidRDefault="00D02AF7" w:rsidP="00AD3A49">
            <w:pPr>
              <w:pStyle w:val="Default"/>
              <w:rPr>
                <w:sz w:val="20"/>
                <w:szCs w:val="20"/>
                <w:lang w:val="fr-FR"/>
              </w:rPr>
            </w:pPr>
            <w:r w:rsidRPr="00E34630">
              <w:rPr>
                <w:sz w:val="20"/>
                <w:szCs w:val="20"/>
                <w:lang w:val="fr-FR"/>
              </w:rPr>
              <w:t>Nombre de notifications faites conformément à l’article 20, paragraphe 1, règlement (UE) 2019/1238 par des épargnants PEPP qui se sont installés dans un autre État membre, pour les autres options d’investissement commercialisées dans le pays</w:t>
            </w:r>
          </w:p>
        </w:tc>
        <w:tc>
          <w:tcPr>
            <w:tcW w:w="4531" w:type="dxa"/>
          </w:tcPr>
          <w:p w:rsidR="00D02AF7" w:rsidRPr="00903712" w:rsidRDefault="00D02AF7" w:rsidP="00AD3A49">
            <w:pPr>
              <w:pStyle w:val="Default"/>
              <w:rPr>
                <w:sz w:val="20"/>
                <w:szCs w:val="20"/>
                <w:lang w:val="fr-FR"/>
              </w:rPr>
            </w:pPr>
            <w:r w:rsidRPr="00E34630">
              <w:rPr>
                <w:sz w:val="20"/>
                <w:szCs w:val="20"/>
                <w:lang w:val="fr-FR"/>
              </w:rPr>
              <w:t>Nombre de notifications de changement d’État membre de résidence reçues d’épargnants PEPP ayant souscrit aux autres options d’investissement commercialisées dans le pays.</w:t>
            </w:r>
          </w:p>
        </w:tc>
      </w:tr>
      <w:tr w:rsidR="00D02AF7" w:rsidRPr="0061324A" w:rsidTr="00AD3A49">
        <w:trPr>
          <w:cantSplit/>
        </w:trPr>
        <w:tc>
          <w:tcPr>
            <w:tcW w:w="1696" w:type="dxa"/>
          </w:tcPr>
          <w:p w:rsidR="00D02AF7" w:rsidRPr="00903712" w:rsidRDefault="00D02AF7" w:rsidP="00AD3A49">
            <w:pPr>
              <w:pStyle w:val="Default"/>
              <w:rPr>
                <w:sz w:val="20"/>
                <w:szCs w:val="20"/>
                <w:lang w:val="fr-FR"/>
              </w:rPr>
            </w:pPr>
            <w:r w:rsidRPr="00E34630">
              <w:rPr>
                <w:sz w:val="20"/>
                <w:szCs w:val="20"/>
                <w:lang w:val="fr-FR"/>
              </w:rPr>
              <w:t>C0260/R0050</w:t>
            </w:r>
          </w:p>
        </w:tc>
        <w:tc>
          <w:tcPr>
            <w:tcW w:w="2835" w:type="dxa"/>
            <w:noWrap/>
          </w:tcPr>
          <w:p w:rsidR="00D02AF7" w:rsidRPr="00903712" w:rsidRDefault="00D02AF7" w:rsidP="00AD3A49">
            <w:pPr>
              <w:pStyle w:val="Default"/>
              <w:rPr>
                <w:sz w:val="20"/>
                <w:szCs w:val="20"/>
                <w:lang w:val="fr-FR"/>
              </w:rPr>
            </w:pPr>
            <w:r w:rsidRPr="00E34630">
              <w:rPr>
                <w:sz w:val="20"/>
                <w:szCs w:val="20"/>
                <w:lang w:val="fr-FR"/>
              </w:rPr>
              <w:t xml:space="preserve">Nombre de demandes d’ouverture d’un </w:t>
            </w:r>
            <w:proofErr w:type="spellStart"/>
            <w:r w:rsidRPr="00E34630">
              <w:rPr>
                <w:sz w:val="20"/>
                <w:szCs w:val="20"/>
                <w:lang w:val="fr-FR"/>
              </w:rPr>
              <w:t>sous-compte</w:t>
            </w:r>
            <w:proofErr w:type="spellEnd"/>
            <w:r w:rsidRPr="00E34630">
              <w:rPr>
                <w:sz w:val="20"/>
                <w:szCs w:val="20"/>
                <w:lang w:val="fr-FR"/>
              </w:rPr>
              <w:t xml:space="preserve"> en vertu de l’article 20, paragraphe 2, du règlement (UE) 2019/1238 pour les autres options d’investissement commercialisées dans le pays</w:t>
            </w:r>
          </w:p>
        </w:tc>
        <w:tc>
          <w:tcPr>
            <w:tcW w:w="4531" w:type="dxa"/>
          </w:tcPr>
          <w:p w:rsidR="00D02AF7" w:rsidRPr="00903712" w:rsidRDefault="00D02AF7" w:rsidP="00AD3A49">
            <w:pPr>
              <w:pStyle w:val="Default"/>
              <w:rPr>
                <w:sz w:val="20"/>
                <w:szCs w:val="20"/>
                <w:lang w:val="fr-FR"/>
              </w:rPr>
            </w:pPr>
            <w:r w:rsidRPr="00E34630">
              <w:rPr>
                <w:sz w:val="20"/>
                <w:szCs w:val="20"/>
                <w:lang w:val="fr-FR"/>
              </w:rPr>
              <w:t xml:space="preserve">Nombre de demandes d’ouverture d’un nouveau </w:t>
            </w:r>
            <w:proofErr w:type="spellStart"/>
            <w:r w:rsidRPr="00E34630">
              <w:rPr>
                <w:sz w:val="20"/>
                <w:szCs w:val="20"/>
                <w:lang w:val="fr-FR"/>
              </w:rPr>
              <w:t>sous-compte</w:t>
            </w:r>
            <w:proofErr w:type="spellEnd"/>
            <w:r w:rsidRPr="00E34630">
              <w:rPr>
                <w:sz w:val="20"/>
                <w:szCs w:val="20"/>
                <w:lang w:val="fr-FR"/>
              </w:rPr>
              <w:t>, pour les autres options d’investissement commercialisées dans le pays, reçues d’épargnants qui ont informé le fournisseur de PEPP de leur intention de changer d’État membre de résidence.</w:t>
            </w:r>
          </w:p>
        </w:tc>
      </w:tr>
      <w:tr w:rsidR="00D02AF7" w:rsidRPr="0061324A" w:rsidTr="00AD3A49">
        <w:trPr>
          <w:cantSplit/>
        </w:trPr>
        <w:tc>
          <w:tcPr>
            <w:tcW w:w="1696" w:type="dxa"/>
          </w:tcPr>
          <w:p w:rsidR="00D02AF7" w:rsidRPr="00903712" w:rsidRDefault="00D02AF7" w:rsidP="00AD3A49">
            <w:pPr>
              <w:pStyle w:val="Default"/>
              <w:rPr>
                <w:sz w:val="20"/>
                <w:szCs w:val="20"/>
                <w:lang w:val="fr-FR"/>
              </w:rPr>
            </w:pPr>
            <w:r w:rsidRPr="00E34630">
              <w:rPr>
                <w:sz w:val="20"/>
                <w:szCs w:val="20"/>
                <w:lang w:val="fr-FR"/>
              </w:rPr>
              <w:t>C0270/R0050</w:t>
            </w:r>
          </w:p>
        </w:tc>
        <w:tc>
          <w:tcPr>
            <w:tcW w:w="2835" w:type="dxa"/>
            <w:noWrap/>
          </w:tcPr>
          <w:p w:rsidR="00D02AF7" w:rsidRPr="00903712" w:rsidRDefault="00D02AF7" w:rsidP="00AD3A49">
            <w:pPr>
              <w:pStyle w:val="Default"/>
              <w:rPr>
                <w:sz w:val="20"/>
                <w:szCs w:val="20"/>
                <w:lang w:val="fr-FR"/>
              </w:rPr>
            </w:pPr>
            <w:r w:rsidRPr="00E34630">
              <w:rPr>
                <w:sz w:val="20"/>
                <w:szCs w:val="20"/>
                <w:lang w:val="fr-FR"/>
              </w:rPr>
              <w:t xml:space="preserve">Nombre de </w:t>
            </w:r>
            <w:proofErr w:type="spellStart"/>
            <w:r w:rsidRPr="00E34630">
              <w:rPr>
                <w:sz w:val="20"/>
                <w:szCs w:val="20"/>
                <w:lang w:val="fr-FR"/>
              </w:rPr>
              <w:t>sous-comptes</w:t>
            </w:r>
            <w:proofErr w:type="spellEnd"/>
            <w:r w:rsidRPr="00E34630">
              <w:rPr>
                <w:sz w:val="20"/>
                <w:szCs w:val="20"/>
                <w:lang w:val="fr-FR"/>
              </w:rPr>
              <w:t xml:space="preserve"> ouverts en vertu de l’article 20, paragraphe 2, du règlement (UE) 2019/1238 pour les autres options d’investissement commercialisées dans le pays</w:t>
            </w:r>
          </w:p>
        </w:tc>
        <w:tc>
          <w:tcPr>
            <w:tcW w:w="4531" w:type="dxa"/>
          </w:tcPr>
          <w:p w:rsidR="00D02AF7" w:rsidRPr="00903712" w:rsidRDefault="00D02AF7" w:rsidP="00AD3A49">
            <w:pPr>
              <w:pStyle w:val="Default"/>
              <w:rPr>
                <w:sz w:val="20"/>
                <w:szCs w:val="20"/>
                <w:lang w:val="fr-FR"/>
              </w:rPr>
            </w:pPr>
            <w:r w:rsidRPr="00E34630">
              <w:rPr>
                <w:sz w:val="20"/>
                <w:szCs w:val="20"/>
                <w:lang w:val="fr-FR"/>
              </w:rPr>
              <w:t xml:space="preserve">Nombre de </w:t>
            </w:r>
            <w:proofErr w:type="spellStart"/>
            <w:r w:rsidRPr="00E34630">
              <w:rPr>
                <w:sz w:val="20"/>
                <w:szCs w:val="20"/>
                <w:lang w:val="fr-FR"/>
              </w:rPr>
              <w:t>sous-comptes</w:t>
            </w:r>
            <w:proofErr w:type="spellEnd"/>
            <w:r w:rsidRPr="00E34630">
              <w:rPr>
                <w:sz w:val="20"/>
                <w:szCs w:val="20"/>
                <w:lang w:val="fr-FR"/>
              </w:rPr>
              <w:t xml:space="preserve"> effectivement ouverts pour les autres options d’investissement commercialisées dans le pays à la demande d’épargnants qui ont informé le fournisseur de PEPP de leur intention de changer d’État membre de résidence.</w:t>
            </w:r>
          </w:p>
        </w:tc>
      </w:tr>
      <w:tr w:rsidR="00D02AF7" w:rsidRPr="0061324A" w:rsidTr="00AD3A49">
        <w:trPr>
          <w:cantSplit/>
        </w:trPr>
        <w:tc>
          <w:tcPr>
            <w:tcW w:w="1696" w:type="dxa"/>
          </w:tcPr>
          <w:p w:rsidR="00D02AF7" w:rsidRPr="00E34630" w:rsidRDefault="00D02AF7" w:rsidP="00AD3A49">
            <w:pPr>
              <w:pStyle w:val="Default"/>
              <w:rPr>
                <w:sz w:val="20"/>
                <w:szCs w:val="20"/>
                <w:lang w:val="fr-FR"/>
              </w:rPr>
            </w:pPr>
            <w:r w:rsidRPr="00E34630">
              <w:rPr>
                <w:sz w:val="20"/>
                <w:szCs w:val="20"/>
                <w:lang w:val="fr-FR"/>
              </w:rPr>
              <w:t>C0280/R0050</w:t>
            </w:r>
          </w:p>
        </w:tc>
        <w:tc>
          <w:tcPr>
            <w:tcW w:w="2835" w:type="dxa"/>
            <w:noWrap/>
          </w:tcPr>
          <w:p w:rsidR="00D02AF7" w:rsidRPr="00E34630" w:rsidRDefault="00D02AF7" w:rsidP="00AD3A49">
            <w:pPr>
              <w:pStyle w:val="Default"/>
              <w:rPr>
                <w:sz w:val="20"/>
                <w:szCs w:val="20"/>
                <w:lang w:val="fr-FR"/>
              </w:rPr>
            </w:pPr>
            <w:r w:rsidRPr="00E34630">
              <w:rPr>
                <w:sz w:val="20"/>
                <w:szCs w:val="20"/>
                <w:lang w:val="fr-FR"/>
              </w:rPr>
              <w:t>Nombre de demandes de changement de fournisseur faites par des épargnants PEPP en vertu de l’article 20, paragraphe 5, point a), du règlement (UE) 2019/1238 pour les autres options d’investissement commercialisées dans le pays</w:t>
            </w:r>
          </w:p>
        </w:tc>
        <w:tc>
          <w:tcPr>
            <w:tcW w:w="4531" w:type="dxa"/>
          </w:tcPr>
          <w:p w:rsidR="00D02AF7" w:rsidRPr="00E34630" w:rsidRDefault="00D02AF7" w:rsidP="00AD3A49">
            <w:pPr>
              <w:pStyle w:val="Default"/>
              <w:rPr>
                <w:sz w:val="20"/>
                <w:szCs w:val="20"/>
                <w:lang w:val="fr-FR"/>
              </w:rPr>
            </w:pPr>
            <w:r w:rsidRPr="00E34630">
              <w:rPr>
                <w:sz w:val="20"/>
                <w:szCs w:val="20"/>
                <w:lang w:val="fr-FR"/>
              </w:rPr>
              <w:t xml:space="preserve">Nombre de demandes de changement de fournisseur de PEPP dues à l’incapacité du fournisseur actuel de créer un </w:t>
            </w:r>
            <w:proofErr w:type="spellStart"/>
            <w:r w:rsidRPr="00E34630">
              <w:rPr>
                <w:sz w:val="20"/>
                <w:szCs w:val="20"/>
                <w:lang w:val="fr-FR"/>
              </w:rPr>
              <w:t>sous-compte</w:t>
            </w:r>
            <w:proofErr w:type="spellEnd"/>
            <w:r w:rsidRPr="00E34630">
              <w:rPr>
                <w:sz w:val="20"/>
                <w:szCs w:val="20"/>
                <w:lang w:val="fr-FR"/>
              </w:rPr>
              <w:t xml:space="preserve"> pour les épargnants ayant souscrit aux autres options d’investissement commercialisées dans le pays qui changent d’État membre de résidence.</w:t>
            </w:r>
          </w:p>
        </w:tc>
      </w:tr>
      <w:tr w:rsidR="00D02AF7" w:rsidRPr="0061324A" w:rsidTr="00AD3A49">
        <w:trPr>
          <w:cantSplit/>
        </w:trPr>
        <w:tc>
          <w:tcPr>
            <w:tcW w:w="1696" w:type="dxa"/>
          </w:tcPr>
          <w:p w:rsidR="00D02AF7" w:rsidRPr="00E34630" w:rsidRDefault="00D02AF7" w:rsidP="00AD3A49">
            <w:pPr>
              <w:pStyle w:val="Default"/>
              <w:rPr>
                <w:sz w:val="20"/>
                <w:szCs w:val="20"/>
                <w:lang w:val="fr-FR"/>
              </w:rPr>
            </w:pPr>
            <w:r w:rsidRPr="00E34630">
              <w:rPr>
                <w:sz w:val="20"/>
                <w:szCs w:val="20"/>
                <w:lang w:val="fr-FR"/>
              </w:rPr>
              <w:t>C0290/R0050</w:t>
            </w:r>
          </w:p>
        </w:tc>
        <w:tc>
          <w:tcPr>
            <w:tcW w:w="2835" w:type="dxa"/>
            <w:noWrap/>
          </w:tcPr>
          <w:p w:rsidR="00D02AF7" w:rsidRPr="00E34630" w:rsidRDefault="00D02AF7" w:rsidP="00AD3A49">
            <w:pPr>
              <w:pStyle w:val="Default"/>
              <w:rPr>
                <w:sz w:val="20"/>
                <w:szCs w:val="20"/>
                <w:lang w:val="fr-FR"/>
              </w:rPr>
            </w:pPr>
            <w:r w:rsidRPr="00E34630">
              <w:rPr>
                <w:sz w:val="20"/>
                <w:szCs w:val="20"/>
                <w:lang w:val="fr-FR"/>
              </w:rPr>
              <w:t>Transferts effectués en vertu de l’article 20, paragraphe 5, point a), du règlement (UE) 2019/1238 pour les autres options d’investissement commercialisées dans le pays</w:t>
            </w:r>
          </w:p>
        </w:tc>
        <w:tc>
          <w:tcPr>
            <w:tcW w:w="4531" w:type="dxa"/>
          </w:tcPr>
          <w:p w:rsidR="00D02AF7" w:rsidRPr="00E34630" w:rsidRDefault="00D02AF7" w:rsidP="00AD3A49">
            <w:pPr>
              <w:pStyle w:val="Default"/>
              <w:rPr>
                <w:sz w:val="20"/>
                <w:szCs w:val="20"/>
                <w:lang w:val="fr-FR"/>
              </w:rPr>
            </w:pPr>
            <w:r w:rsidRPr="00E34630">
              <w:rPr>
                <w:sz w:val="20"/>
                <w:szCs w:val="20"/>
                <w:lang w:val="fr-FR"/>
              </w:rPr>
              <w:t xml:space="preserve">Montant des transferts effectués vers un autre fournisseur de PEPP en raison de l’incapacité du fournisseur actuel de créer un </w:t>
            </w:r>
            <w:proofErr w:type="spellStart"/>
            <w:r w:rsidRPr="00E34630">
              <w:rPr>
                <w:sz w:val="20"/>
                <w:szCs w:val="20"/>
                <w:lang w:val="fr-FR"/>
              </w:rPr>
              <w:t>sous-compte</w:t>
            </w:r>
            <w:proofErr w:type="spellEnd"/>
            <w:r w:rsidRPr="00E34630">
              <w:rPr>
                <w:sz w:val="20"/>
                <w:szCs w:val="20"/>
                <w:lang w:val="fr-FR"/>
              </w:rPr>
              <w:t xml:space="preserve"> pour les épargnants ayant souscrit aux autres options d’investissement commercialisées dans le pays qui changent d’État membre de résidence.</w:t>
            </w:r>
          </w:p>
        </w:tc>
      </w:tr>
      <w:tr w:rsidR="00D02AF7" w:rsidRPr="0061324A" w:rsidTr="00AD3A49">
        <w:trPr>
          <w:cantSplit/>
        </w:trPr>
        <w:tc>
          <w:tcPr>
            <w:tcW w:w="1696" w:type="dxa"/>
          </w:tcPr>
          <w:p w:rsidR="00D02AF7" w:rsidRPr="00E34630" w:rsidRDefault="00D02AF7" w:rsidP="00AD3A49">
            <w:pPr>
              <w:pStyle w:val="Default"/>
              <w:rPr>
                <w:sz w:val="20"/>
                <w:szCs w:val="20"/>
                <w:lang w:val="fr-FR"/>
              </w:rPr>
            </w:pPr>
            <w:r w:rsidRPr="00E34630">
              <w:rPr>
                <w:sz w:val="20"/>
                <w:szCs w:val="20"/>
                <w:lang w:val="fr-FR"/>
              </w:rPr>
              <w:t>C0300/R0050</w:t>
            </w:r>
          </w:p>
        </w:tc>
        <w:tc>
          <w:tcPr>
            <w:tcW w:w="2835" w:type="dxa"/>
            <w:noWrap/>
          </w:tcPr>
          <w:p w:rsidR="00D02AF7" w:rsidRPr="00E34630" w:rsidRDefault="00D02AF7" w:rsidP="00AD3A49">
            <w:pPr>
              <w:pStyle w:val="Default"/>
              <w:rPr>
                <w:sz w:val="20"/>
                <w:szCs w:val="20"/>
                <w:lang w:val="fr-FR"/>
              </w:rPr>
            </w:pPr>
            <w:r w:rsidRPr="00E34630">
              <w:rPr>
                <w:sz w:val="20"/>
                <w:szCs w:val="20"/>
                <w:lang w:val="fr-FR"/>
              </w:rPr>
              <w:t>Nombre de demandes de changement de fournisseur faites par des épargnants PEPP en vertu de l’article 52, paragraphe 3, du règlement (UE) 2019/1238 pour les autres options d’investissement commercialisées dans le pays</w:t>
            </w:r>
          </w:p>
        </w:tc>
        <w:tc>
          <w:tcPr>
            <w:tcW w:w="4531" w:type="dxa"/>
          </w:tcPr>
          <w:p w:rsidR="00D02AF7" w:rsidRPr="00E34630" w:rsidRDefault="00D02AF7" w:rsidP="00AD3A49">
            <w:pPr>
              <w:pStyle w:val="Default"/>
              <w:rPr>
                <w:sz w:val="20"/>
                <w:szCs w:val="20"/>
                <w:lang w:val="fr-FR"/>
              </w:rPr>
            </w:pPr>
            <w:r w:rsidRPr="00E34630">
              <w:rPr>
                <w:sz w:val="20"/>
                <w:szCs w:val="20"/>
                <w:lang w:val="fr-FR"/>
              </w:rPr>
              <w:t>Nombre de demandes de changement de fournisseur de PEPP faites en vertu de l’article 52, paragraphe 3, du règlement (UE) 2019/1238 par des épargnants ayant souscrit aux autres options d’investissement commercialisées dans le pays.</w:t>
            </w:r>
          </w:p>
        </w:tc>
      </w:tr>
      <w:tr w:rsidR="00D02AF7" w:rsidRPr="0061324A" w:rsidTr="00AD3A49">
        <w:trPr>
          <w:cantSplit/>
        </w:trPr>
        <w:tc>
          <w:tcPr>
            <w:tcW w:w="1696" w:type="dxa"/>
          </w:tcPr>
          <w:p w:rsidR="00D02AF7" w:rsidRPr="00E34630" w:rsidRDefault="00D02AF7" w:rsidP="00AD3A49">
            <w:pPr>
              <w:pStyle w:val="Default"/>
              <w:rPr>
                <w:sz w:val="20"/>
                <w:szCs w:val="20"/>
                <w:lang w:val="fr-FR"/>
              </w:rPr>
            </w:pPr>
            <w:r w:rsidRPr="00E34630">
              <w:rPr>
                <w:sz w:val="20"/>
                <w:szCs w:val="20"/>
                <w:lang w:val="fr-FR"/>
              </w:rPr>
              <w:t>C0310/R0050</w:t>
            </w:r>
          </w:p>
        </w:tc>
        <w:tc>
          <w:tcPr>
            <w:tcW w:w="2835" w:type="dxa"/>
            <w:noWrap/>
          </w:tcPr>
          <w:p w:rsidR="00D02AF7" w:rsidRPr="00E34630" w:rsidRDefault="00D02AF7" w:rsidP="00AD3A49">
            <w:pPr>
              <w:pStyle w:val="Default"/>
              <w:rPr>
                <w:sz w:val="20"/>
                <w:szCs w:val="20"/>
                <w:lang w:val="fr-FR"/>
              </w:rPr>
            </w:pPr>
            <w:r w:rsidRPr="00E34630">
              <w:rPr>
                <w:sz w:val="20"/>
                <w:szCs w:val="20"/>
                <w:lang w:val="fr-FR"/>
              </w:rPr>
              <w:t>Transferts effectués en vertu de l’article 52, paragraphe 3, du règlement (UE) 2019/1238 pour les autres options d’investissement commercialisées dans le pays</w:t>
            </w:r>
          </w:p>
        </w:tc>
        <w:tc>
          <w:tcPr>
            <w:tcW w:w="4531" w:type="dxa"/>
          </w:tcPr>
          <w:p w:rsidR="00D02AF7" w:rsidRPr="00E34630" w:rsidRDefault="00D02AF7" w:rsidP="00AD3A49">
            <w:pPr>
              <w:pStyle w:val="Default"/>
              <w:rPr>
                <w:sz w:val="20"/>
                <w:szCs w:val="20"/>
                <w:lang w:val="fr-FR"/>
              </w:rPr>
            </w:pPr>
            <w:r w:rsidRPr="00E34630">
              <w:rPr>
                <w:sz w:val="20"/>
                <w:szCs w:val="20"/>
                <w:lang w:val="fr-FR"/>
              </w:rPr>
              <w:t>Montant des transferts effectués vers un autre fournisseur de PEPP en vertu de l’article 52, paragraphe 3, du règlement (UE) 2019/1238 à la demande d’épargnants ayant souscrit aux autres options d’investissement commercialisées dans le pays.</w:t>
            </w:r>
          </w:p>
        </w:tc>
      </w:tr>
      <w:tr w:rsidR="00D02AF7" w:rsidRPr="0061324A" w:rsidTr="00AD3A49">
        <w:trPr>
          <w:cantSplit/>
        </w:trPr>
        <w:tc>
          <w:tcPr>
            <w:tcW w:w="1696" w:type="dxa"/>
          </w:tcPr>
          <w:p w:rsidR="00D02AF7" w:rsidRPr="00E34630" w:rsidRDefault="00D02AF7" w:rsidP="00AD3A49">
            <w:pPr>
              <w:pStyle w:val="Default"/>
              <w:rPr>
                <w:sz w:val="20"/>
                <w:szCs w:val="20"/>
                <w:lang w:val="fr-FR"/>
              </w:rPr>
            </w:pPr>
            <w:r w:rsidRPr="00E34630">
              <w:rPr>
                <w:sz w:val="20"/>
                <w:szCs w:val="20"/>
                <w:lang w:val="fr-FR"/>
              </w:rPr>
              <w:t>C0320/R0050</w:t>
            </w:r>
          </w:p>
        </w:tc>
        <w:tc>
          <w:tcPr>
            <w:tcW w:w="2835" w:type="dxa"/>
            <w:noWrap/>
          </w:tcPr>
          <w:p w:rsidR="00D02AF7" w:rsidRPr="00E34630" w:rsidRDefault="00D02AF7" w:rsidP="00AD3A49">
            <w:pPr>
              <w:pStyle w:val="Default"/>
              <w:rPr>
                <w:sz w:val="20"/>
                <w:szCs w:val="20"/>
                <w:lang w:val="fr-FR"/>
              </w:rPr>
            </w:pPr>
            <w:r w:rsidRPr="00E34630">
              <w:rPr>
                <w:sz w:val="20"/>
                <w:szCs w:val="20"/>
                <w:lang w:val="fr-FR"/>
              </w:rPr>
              <w:t>Actifs des autres options d’investissement commercialisées dans le pays</w:t>
            </w:r>
          </w:p>
        </w:tc>
        <w:tc>
          <w:tcPr>
            <w:tcW w:w="4531" w:type="dxa"/>
          </w:tcPr>
          <w:p w:rsidR="00D02AF7" w:rsidRPr="00E34630" w:rsidRDefault="00D02AF7" w:rsidP="00AD3A49">
            <w:pPr>
              <w:pStyle w:val="Default"/>
              <w:rPr>
                <w:sz w:val="20"/>
                <w:szCs w:val="20"/>
                <w:lang w:val="fr-FR"/>
              </w:rPr>
            </w:pPr>
            <w:r w:rsidRPr="00E34630">
              <w:rPr>
                <w:sz w:val="20"/>
                <w:szCs w:val="20"/>
                <w:lang w:val="fr-FR"/>
              </w:rPr>
              <w:t>Montant total des actifs liés aux autres options d’investissement commercialisées dans le pays.</w:t>
            </w:r>
          </w:p>
        </w:tc>
      </w:tr>
      <w:tr w:rsidR="00D02AF7" w:rsidRPr="0061324A" w:rsidTr="00AD3A49">
        <w:trPr>
          <w:cantSplit/>
        </w:trPr>
        <w:tc>
          <w:tcPr>
            <w:tcW w:w="1696" w:type="dxa"/>
          </w:tcPr>
          <w:p w:rsidR="00D02AF7" w:rsidRPr="00E34630" w:rsidRDefault="00D02AF7" w:rsidP="00AD3A49">
            <w:pPr>
              <w:pStyle w:val="Default"/>
              <w:rPr>
                <w:sz w:val="20"/>
                <w:szCs w:val="20"/>
                <w:lang w:val="fr-FR"/>
              </w:rPr>
            </w:pPr>
            <w:r w:rsidRPr="00E34630">
              <w:rPr>
                <w:sz w:val="20"/>
                <w:szCs w:val="20"/>
                <w:lang w:val="fr-FR"/>
              </w:rPr>
              <w:t>C0330/R0050</w:t>
            </w:r>
          </w:p>
        </w:tc>
        <w:tc>
          <w:tcPr>
            <w:tcW w:w="2835" w:type="dxa"/>
            <w:noWrap/>
          </w:tcPr>
          <w:p w:rsidR="00D02AF7" w:rsidRPr="00E34630" w:rsidRDefault="00D02AF7" w:rsidP="00AD3A49">
            <w:pPr>
              <w:pStyle w:val="Default"/>
              <w:rPr>
                <w:sz w:val="20"/>
                <w:szCs w:val="20"/>
                <w:lang w:val="fr-FR"/>
              </w:rPr>
            </w:pPr>
            <w:r w:rsidRPr="00E34630">
              <w:rPr>
                <w:sz w:val="20"/>
                <w:szCs w:val="20"/>
                <w:lang w:val="fr-FR"/>
              </w:rPr>
              <w:t>Obligations liées aux autres options d’investissement commercialisées dans le pays</w:t>
            </w:r>
          </w:p>
        </w:tc>
        <w:tc>
          <w:tcPr>
            <w:tcW w:w="4531" w:type="dxa"/>
          </w:tcPr>
          <w:p w:rsidR="00D02AF7" w:rsidRPr="00E34630" w:rsidRDefault="00D02AF7" w:rsidP="00AD3A49">
            <w:pPr>
              <w:pStyle w:val="Default"/>
              <w:rPr>
                <w:sz w:val="20"/>
                <w:szCs w:val="20"/>
                <w:lang w:val="fr-FR"/>
              </w:rPr>
            </w:pPr>
            <w:r w:rsidRPr="00E34630">
              <w:rPr>
                <w:sz w:val="20"/>
                <w:szCs w:val="20"/>
                <w:lang w:val="fr-FR"/>
              </w:rPr>
              <w:t>Montant total des provisions techniques et autres passifs, le cas échéant, liés aux autres options d’investissement commercialisées dans le pays.</w:t>
            </w:r>
          </w:p>
        </w:tc>
      </w:tr>
      <w:tr w:rsidR="00D02AF7" w:rsidRPr="0061324A" w:rsidTr="00AD3A49">
        <w:trPr>
          <w:cantSplit/>
        </w:trPr>
        <w:tc>
          <w:tcPr>
            <w:tcW w:w="1696" w:type="dxa"/>
          </w:tcPr>
          <w:p w:rsidR="00D02AF7" w:rsidRPr="00E34630" w:rsidRDefault="00D02AF7" w:rsidP="00AD3A49">
            <w:pPr>
              <w:pStyle w:val="Default"/>
              <w:rPr>
                <w:sz w:val="20"/>
                <w:szCs w:val="20"/>
                <w:lang w:val="fr-FR"/>
              </w:rPr>
            </w:pPr>
            <w:r w:rsidRPr="00E34630">
              <w:rPr>
                <w:sz w:val="20"/>
                <w:szCs w:val="20"/>
                <w:lang w:val="fr-FR"/>
              </w:rPr>
              <w:t>C0340/R0050</w:t>
            </w:r>
          </w:p>
        </w:tc>
        <w:tc>
          <w:tcPr>
            <w:tcW w:w="2835" w:type="dxa"/>
            <w:noWrap/>
          </w:tcPr>
          <w:p w:rsidR="00D02AF7" w:rsidRPr="00E34630" w:rsidRDefault="00D02AF7" w:rsidP="00AD3A49">
            <w:pPr>
              <w:pStyle w:val="Default"/>
              <w:rPr>
                <w:sz w:val="20"/>
                <w:szCs w:val="20"/>
                <w:lang w:val="fr-FR"/>
              </w:rPr>
            </w:pPr>
            <w:r w:rsidRPr="00E34630">
              <w:rPr>
                <w:sz w:val="20"/>
                <w:szCs w:val="20"/>
                <w:lang w:val="fr-FR"/>
              </w:rPr>
              <w:t>Nombre de réclamations pour les autres options d’investissement commercialisées dans le pays</w:t>
            </w:r>
          </w:p>
        </w:tc>
        <w:tc>
          <w:tcPr>
            <w:tcW w:w="4531" w:type="dxa"/>
          </w:tcPr>
          <w:p w:rsidR="00D02AF7" w:rsidRPr="00E34630" w:rsidRDefault="00D02AF7" w:rsidP="00AD3A49">
            <w:pPr>
              <w:pStyle w:val="Default"/>
              <w:rPr>
                <w:sz w:val="20"/>
                <w:szCs w:val="20"/>
                <w:lang w:val="fr-FR"/>
              </w:rPr>
            </w:pPr>
            <w:r w:rsidRPr="00E34630">
              <w:rPr>
                <w:sz w:val="20"/>
                <w:szCs w:val="20"/>
                <w:lang w:val="fr-FR"/>
              </w:rPr>
              <w:t>Nombre total de réclamations reçues durant la période de déclaration pour les autres options d’investissement commercialisées dans le pays.</w:t>
            </w:r>
          </w:p>
        </w:tc>
      </w:tr>
      <w:tr w:rsidR="00D02AF7" w:rsidRPr="0061324A" w:rsidTr="00AD3A49">
        <w:trPr>
          <w:cantSplit/>
        </w:trPr>
        <w:tc>
          <w:tcPr>
            <w:tcW w:w="1696" w:type="dxa"/>
          </w:tcPr>
          <w:p w:rsidR="00D02AF7" w:rsidRPr="00E34630" w:rsidRDefault="00D02AF7" w:rsidP="00AD3A49">
            <w:pPr>
              <w:pStyle w:val="Default"/>
              <w:rPr>
                <w:sz w:val="20"/>
                <w:szCs w:val="20"/>
                <w:lang w:val="fr-FR"/>
              </w:rPr>
            </w:pPr>
            <w:r w:rsidRPr="00056BE4">
              <w:rPr>
                <w:sz w:val="20"/>
                <w:szCs w:val="20"/>
                <w:lang w:val="fr-FR"/>
              </w:rPr>
              <w:t>C0150/R0060</w:t>
            </w:r>
          </w:p>
        </w:tc>
        <w:tc>
          <w:tcPr>
            <w:tcW w:w="2835" w:type="dxa"/>
            <w:noWrap/>
          </w:tcPr>
          <w:p w:rsidR="00D02AF7" w:rsidRPr="00E34630" w:rsidRDefault="00D02AF7" w:rsidP="00AD3A49">
            <w:pPr>
              <w:pStyle w:val="Default"/>
              <w:rPr>
                <w:sz w:val="20"/>
                <w:szCs w:val="20"/>
                <w:lang w:val="fr-FR"/>
              </w:rPr>
            </w:pPr>
            <w:r w:rsidRPr="00056BE4">
              <w:rPr>
                <w:sz w:val="20"/>
                <w:szCs w:val="20"/>
                <w:lang w:val="fr-FR"/>
              </w:rPr>
              <w:t>Nombre d’épargnants PEPP ayant souscrit aux autres options d’investissement en voie de liquidation</w:t>
            </w:r>
          </w:p>
        </w:tc>
        <w:tc>
          <w:tcPr>
            <w:tcW w:w="4531" w:type="dxa"/>
          </w:tcPr>
          <w:p w:rsidR="00D02AF7" w:rsidRPr="00E34630" w:rsidRDefault="00D02AF7" w:rsidP="00AD3A49">
            <w:pPr>
              <w:pStyle w:val="Default"/>
              <w:rPr>
                <w:sz w:val="20"/>
                <w:szCs w:val="20"/>
                <w:lang w:val="fr-FR"/>
              </w:rPr>
            </w:pPr>
            <w:r w:rsidRPr="00056BE4">
              <w:rPr>
                <w:sz w:val="20"/>
                <w:szCs w:val="20"/>
                <w:lang w:val="fr-FR"/>
              </w:rPr>
              <w:t>Nombre d’épargnants PEPP ayant souscrit aux autres options d’investissement en voie de liquidation.</w:t>
            </w:r>
          </w:p>
        </w:tc>
      </w:tr>
      <w:tr w:rsidR="00D02AF7" w:rsidRPr="0061324A" w:rsidTr="00AD3A49">
        <w:trPr>
          <w:cantSplit/>
        </w:trPr>
        <w:tc>
          <w:tcPr>
            <w:tcW w:w="1696" w:type="dxa"/>
          </w:tcPr>
          <w:p w:rsidR="00D02AF7" w:rsidRPr="00E34630" w:rsidRDefault="00D02AF7" w:rsidP="00AD3A49">
            <w:pPr>
              <w:pStyle w:val="Default"/>
              <w:rPr>
                <w:sz w:val="20"/>
                <w:szCs w:val="20"/>
                <w:lang w:val="fr-FR"/>
              </w:rPr>
            </w:pPr>
            <w:r w:rsidRPr="00056BE4">
              <w:rPr>
                <w:sz w:val="20"/>
                <w:szCs w:val="20"/>
                <w:lang w:val="fr-FR"/>
              </w:rPr>
              <w:t>C0160/R0060</w:t>
            </w:r>
          </w:p>
        </w:tc>
        <w:tc>
          <w:tcPr>
            <w:tcW w:w="2835" w:type="dxa"/>
            <w:noWrap/>
          </w:tcPr>
          <w:p w:rsidR="00D02AF7" w:rsidRPr="00E34630" w:rsidRDefault="00D02AF7" w:rsidP="00AD3A49">
            <w:pPr>
              <w:pStyle w:val="Default"/>
              <w:rPr>
                <w:sz w:val="20"/>
                <w:szCs w:val="20"/>
                <w:lang w:val="fr-FR"/>
              </w:rPr>
            </w:pPr>
            <w:r w:rsidRPr="00056BE4">
              <w:rPr>
                <w:sz w:val="20"/>
                <w:szCs w:val="20"/>
                <w:lang w:val="fr-FR"/>
              </w:rPr>
              <w:t>Total des cotisations brutes reçues pour les autres options d’investissement en voie de liquidation</w:t>
            </w:r>
          </w:p>
        </w:tc>
        <w:tc>
          <w:tcPr>
            <w:tcW w:w="4531" w:type="dxa"/>
          </w:tcPr>
          <w:p w:rsidR="00D02AF7" w:rsidRPr="00E34630" w:rsidRDefault="00D02AF7" w:rsidP="00AD3A49">
            <w:pPr>
              <w:pStyle w:val="Default"/>
              <w:rPr>
                <w:sz w:val="20"/>
                <w:szCs w:val="20"/>
                <w:lang w:val="fr-FR"/>
              </w:rPr>
            </w:pPr>
            <w:r w:rsidRPr="00056BE4">
              <w:rPr>
                <w:sz w:val="20"/>
                <w:szCs w:val="20"/>
                <w:lang w:val="fr-FR"/>
              </w:rPr>
              <w:t>Montant total des cotisations versées durant la période de déclaration par les épargnants PEPP ayant souscrit aux autres options d’investissement en voie de liquidation.</w:t>
            </w:r>
          </w:p>
        </w:tc>
      </w:tr>
      <w:tr w:rsidR="00D02AF7" w:rsidRPr="0061324A" w:rsidTr="00AD3A49">
        <w:trPr>
          <w:cantSplit/>
        </w:trPr>
        <w:tc>
          <w:tcPr>
            <w:tcW w:w="1696" w:type="dxa"/>
          </w:tcPr>
          <w:p w:rsidR="00D02AF7" w:rsidRPr="00E34630" w:rsidRDefault="00D02AF7" w:rsidP="00AD3A49">
            <w:pPr>
              <w:pStyle w:val="Default"/>
              <w:rPr>
                <w:sz w:val="20"/>
                <w:szCs w:val="20"/>
                <w:lang w:val="fr-FR"/>
              </w:rPr>
            </w:pPr>
            <w:r w:rsidRPr="00056BE4">
              <w:rPr>
                <w:sz w:val="20"/>
                <w:szCs w:val="20"/>
                <w:lang w:val="fr-FR"/>
              </w:rPr>
              <w:t>C0170/R0060</w:t>
            </w:r>
          </w:p>
        </w:tc>
        <w:tc>
          <w:tcPr>
            <w:tcW w:w="2835" w:type="dxa"/>
            <w:noWrap/>
          </w:tcPr>
          <w:p w:rsidR="00D02AF7" w:rsidRPr="00E34630" w:rsidRDefault="00D02AF7" w:rsidP="00AD3A49">
            <w:pPr>
              <w:pStyle w:val="Default"/>
              <w:rPr>
                <w:sz w:val="20"/>
                <w:szCs w:val="20"/>
                <w:lang w:val="fr-FR"/>
              </w:rPr>
            </w:pPr>
            <w:r w:rsidRPr="00056BE4">
              <w:rPr>
                <w:sz w:val="20"/>
                <w:szCs w:val="20"/>
                <w:lang w:val="fr-FR"/>
              </w:rPr>
              <w:t>Rendement brut total des autres options d’investissement en voie de liquidation</w:t>
            </w:r>
          </w:p>
        </w:tc>
        <w:tc>
          <w:tcPr>
            <w:tcW w:w="4531" w:type="dxa"/>
          </w:tcPr>
          <w:p w:rsidR="00D02AF7" w:rsidRPr="00E34630" w:rsidRDefault="00D02AF7" w:rsidP="00AD3A49">
            <w:pPr>
              <w:pStyle w:val="Default"/>
              <w:rPr>
                <w:sz w:val="20"/>
                <w:szCs w:val="20"/>
                <w:lang w:val="fr-FR"/>
              </w:rPr>
            </w:pPr>
            <w:r w:rsidRPr="00056BE4">
              <w:rPr>
                <w:sz w:val="20"/>
                <w:szCs w:val="20"/>
                <w:lang w:val="fr-FR"/>
              </w:rPr>
              <w:t>Montant total des rendements bruts d’investissements alloués aux épargnants. Il s’agit du montant brut, avant déduction des coûts d’investissement des autres options d’investissement en voie de liquidation.</w:t>
            </w:r>
          </w:p>
        </w:tc>
      </w:tr>
      <w:tr w:rsidR="00D02AF7" w:rsidRPr="0061324A" w:rsidTr="00AD3A49">
        <w:trPr>
          <w:cantSplit/>
        </w:trPr>
        <w:tc>
          <w:tcPr>
            <w:tcW w:w="1696" w:type="dxa"/>
          </w:tcPr>
          <w:p w:rsidR="00D02AF7" w:rsidRPr="00E34630" w:rsidRDefault="00D02AF7" w:rsidP="00AD3A49">
            <w:pPr>
              <w:pStyle w:val="Default"/>
              <w:rPr>
                <w:sz w:val="20"/>
                <w:szCs w:val="20"/>
                <w:lang w:val="fr-FR"/>
              </w:rPr>
            </w:pPr>
            <w:r w:rsidRPr="00056BE4">
              <w:rPr>
                <w:sz w:val="20"/>
                <w:szCs w:val="20"/>
                <w:lang w:val="fr-FR"/>
              </w:rPr>
              <w:t>C0190/R0060</w:t>
            </w:r>
          </w:p>
        </w:tc>
        <w:tc>
          <w:tcPr>
            <w:tcW w:w="2835" w:type="dxa"/>
            <w:noWrap/>
          </w:tcPr>
          <w:p w:rsidR="00D02AF7" w:rsidRPr="00E34630" w:rsidRDefault="00D02AF7" w:rsidP="00AD3A49">
            <w:pPr>
              <w:pStyle w:val="Default"/>
              <w:rPr>
                <w:sz w:val="20"/>
                <w:szCs w:val="20"/>
                <w:lang w:val="fr-FR"/>
              </w:rPr>
            </w:pPr>
            <w:r w:rsidRPr="00056BE4">
              <w:rPr>
                <w:sz w:val="20"/>
                <w:szCs w:val="20"/>
                <w:lang w:val="fr-FR"/>
              </w:rPr>
              <w:t>Total des prestations versées pour les autres options d’investissement en voie de liquidation</w:t>
            </w:r>
          </w:p>
        </w:tc>
        <w:tc>
          <w:tcPr>
            <w:tcW w:w="4531" w:type="dxa"/>
          </w:tcPr>
          <w:p w:rsidR="00D02AF7" w:rsidRPr="00E34630" w:rsidRDefault="00D02AF7" w:rsidP="00AD3A49">
            <w:pPr>
              <w:pStyle w:val="Default"/>
              <w:rPr>
                <w:sz w:val="20"/>
                <w:szCs w:val="20"/>
                <w:lang w:val="fr-FR"/>
              </w:rPr>
            </w:pPr>
            <w:r w:rsidRPr="00056BE4">
              <w:rPr>
                <w:sz w:val="20"/>
                <w:szCs w:val="20"/>
                <w:lang w:val="fr-FR"/>
              </w:rPr>
              <w:t>Montant total des prestations versées aux épargnants PEPP durant la période de déclaration au titre des autres options d’investissement en voie de liquidation. Ce montant inclut toutes les prestations versées, notamment au titre des risques biométriques et des autres options disponibles pour le produit.</w:t>
            </w:r>
          </w:p>
        </w:tc>
      </w:tr>
      <w:tr w:rsidR="00D02AF7" w:rsidRPr="0061324A" w:rsidTr="00AD3A49">
        <w:trPr>
          <w:cantSplit/>
        </w:trPr>
        <w:tc>
          <w:tcPr>
            <w:tcW w:w="1696" w:type="dxa"/>
          </w:tcPr>
          <w:p w:rsidR="00D02AF7" w:rsidRPr="00E34630" w:rsidRDefault="00D02AF7" w:rsidP="00AD3A49">
            <w:pPr>
              <w:pStyle w:val="Default"/>
              <w:rPr>
                <w:sz w:val="20"/>
                <w:szCs w:val="20"/>
                <w:lang w:val="fr-FR"/>
              </w:rPr>
            </w:pPr>
            <w:r w:rsidRPr="00056BE4">
              <w:rPr>
                <w:sz w:val="20"/>
                <w:szCs w:val="20"/>
                <w:lang w:val="fr-FR"/>
              </w:rPr>
              <w:t>C0200/R0060</w:t>
            </w:r>
          </w:p>
        </w:tc>
        <w:tc>
          <w:tcPr>
            <w:tcW w:w="2835" w:type="dxa"/>
            <w:noWrap/>
          </w:tcPr>
          <w:p w:rsidR="00D02AF7" w:rsidRPr="00E34630" w:rsidRDefault="00D02AF7" w:rsidP="00AD3A49">
            <w:pPr>
              <w:pStyle w:val="Default"/>
              <w:rPr>
                <w:sz w:val="20"/>
                <w:szCs w:val="20"/>
                <w:lang w:val="fr-FR"/>
              </w:rPr>
            </w:pPr>
            <w:r w:rsidRPr="00056BE4">
              <w:rPr>
                <w:sz w:val="20"/>
                <w:szCs w:val="20"/>
                <w:lang w:val="fr-FR"/>
              </w:rPr>
              <w:t>Prestations de retraite au titre des autres options d’investissement en voie de liquidation</w:t>
            </w:r>
          </w:p>
        </w:tc>
        <w:tc>
          <w:tcPr>
            <w:tcW w:w="4531" w:type="dxa"/>
          </w:tcPr>
          <w:p w:rsidR="00D02AF7" w:rsidRPr="00E34630" w:rsidRDefault="00D02AF7" w:rsidP="00AD3A49">
            <w:pPr>
              <w:pStyle w:val="Default"/>
              <w:rPr>
                <w:sz w:val="20"/>
                <w:szCs w:val="20"/>
                <w:lang w:val="fr-FR"/>
              </w:rPr>
            </w:pPr>
            <w:r w:rsidRPr="00056BE4">
              <w:rPr>
                <w:sz w:val="20"/>
                <w:szCs w:val="20"/>
                <w:lang w:val="fr-FR"/>
              </w:rPr>
              <w:t>Montant des prestations versées durant la période de déclaration aux épargnants PEPP ayant souscrit aux autres options d’investissement en voie de liquidation. Ce montant ne comprend que les prestations de retraite.</w:t>
            </w:r>
          </w:p>
        </w:tc>
      </w:tr>
      <w:tr w:rsidR="00D02AF7" w:rsidRPr="0061324A" w:rsidTr="00AD3A49">
        <w:trPr>
          <w:cantSplit/>
        </w:trPr>
        <w:tc>
          <w:tcPr>
            <w:tcW w:w="1696" w:type="dxa"/>
          </w:tcPr>
          <w:p w:rsidR="00D02AF7" w:rsidRPr="00E34630" w:rsidRDefault="00D02AF7" w:rsidP="00AD3A49">
            <w:pPr>
              <w:pStyle w:val="Default"/>
              <w:rPr>
                <w:sz w:val="20"/>
                <w:szCs w:val="20"/>
                <w:lang w:val="fr-FR"/>
              </w:rPr>
            </w:pPr>
            <w:r w:rsidRPr="00056BE4">
              <w:rPr>
                <w:sz w:val="20"/>
                <w:szCs w:val="20"/>
                <w:lang w:val="fr-FR"/>
              </w:rPr>
              <w:t>C0210/R0060</w:t>
            </w:r>
          </w:p>
        </w:tc>
        <w:tc>
          <w:tcPr>
            <w:tcW w:w="2835" w:type="dxa"/>
            <w:noWrap/>
          </w:tcPr>
          <w:p w:rsidR="00D02AF7" w:rsidRPr="00E34630" w:rsidRDefault="00D02AF7" w:rsidP="00AD3A49">
            <w:pPr>
              <w:pStyle w:val="Default"/>
              <w:rPr>
                <w:sz w:val="20"/>
                <w:szCs w:val="20"/>
                <w:lang w:val="fr-FR"/>
              </w:rPr>
            </w:pPr>
            <w:r w:rsidRPr="00056BE4">
              <w:rPr>
                <w:sz w:val="20"/>
                <w:szCs w:val="20"/>
                <w:lang w:val="fr-FR"/>
              </w:rPr>
              <w:t>Prestations de retraite versées sous forme de rente au titre des autres options d’investissement en voie de liquidation</w:t>
            </w:r>
          </w:p>
        </w:tc>
        <w:tc>
          <w:tcPr>
            <w:tcW w:w="4531" w:type="dxa"/>
          </w:tcPr>
          <w:p w:rsidR="00D02AF7" w:rsidRPr="00E34630" w:rsidRDefault="00D02AF7" w:rsidP="00AD3A49">
            <w:pPr>
              <w:pStyle w:val="Default"/>
              <w:rPr>
                <w:sz w:val="20"/>
                <w:szCs w:val="20"/>
                <w:lang w:val="fr-FR"/>
              </w:rPr>
            </w:pPr>
            <w:r w:rsidRPr="00056BE4">
              <w:rPr>
                <w:sz w:val="20"/>
                <w:szCs w:val="20"/>
                <w:lang w:val="fr-FR"/>
              </w:rPr>
              <w:t>Montant des prestations versées durant la période de déclaration aux épargnants PEPP ayant souscrit aux autres options d’investissement en voie de liquidation. Ce montant ne comprend que les prestations de retraite versées sous forme de rente.</w:t>
            </w:r>
          </w:p>
        </w:tc>
      </w:tr>
      <w:tr w:rsidR="00D02AF7" w:rsidRPr="0061324A" w:rsidTr="00AD3A49">
        <w:trPr>
          <w:cantSplit/>
        </w:trPr>
        <w:tc>
          <w:tcPr>
            <w:tcW w:w="1696" w:type="dxa"/>
          </w:tcPr>
          <w:p w:rsidR="00D02AF7" w:rsidRPr="00E34630" w:rsidRDefault="00D02AF7" w:rsidP="00AD3A49">
            <w:pPr>
              <w:pStyle w:val="Default"/>
              <w:rPr>
                <w:sz w:val="20"/>
                <w:szCs w:val="20"/>
                <w:lang w:val="fr-FR"/>
              </w:rPr>
            </w:pPr>
            <w:r w:rsidRPr="00056BE4">
              <w:rPr>
                <w:sz w:val="20"/>
                <w:szCs w:val="20"/>
                <w:lang w:val="fr-FR"/>
              </w:rPr>
              <w:t>C0220/R0060</w:t>
            </w:r>
          </w:p>
        </w:tc>
        <w:tc>
          <w:tcPr>
            <w:tcW w:w="2835" w:type="dxa"/>
            <w:noWrap/>
          </w:tcPr>
          <w:p w:rsidR="00D02AF7" w:rsidRPr="00E34630" w:rsidRDefault="00D02AF7" w:rsidP="00AD3A49">
            <w:pPr>
              <w:pStyle w:val="Default"/>
              <w:rPr>
                <w:sz w:val="20"/>
                <w:szCs w:val="20"/>
                <w:lang w:val="fr-FR"/>
              </w:rPr>
            </w:pPr>
            <w:r w:rsidRPr="00056BE4">
              <w:rPr>
                <w:sz w:val="20"/>
                <w:szCs w:val="20"/>
                <w:lang w:val="fr-FR"/>
              </w:rPr>
              <w:t>Prestations de retraite versées sous forme de capital unique au titre des autres options d’investissement en voie de liquidation</w:t>
            </w:r>
          </w:p>
        </w:tc>
        <w:tc>
          <w:tcPr>
            <w:tcW w:w="4531" w:type="dxa"/>
          </w:tcPr>
          <w:p w:rsidR="00D02AF7" w:rsidRPr="00E34630" w:rsidRDefault="00D02AF7" w:rsidP="00AD3A49">
            <w:pPr>
              <w:pStyle w:val="Default"/>
              <w:rPr>
                <w:sz w:val="20"/>
                <w:szCs w:val="20"/>
                <w:lang w:val="fr-FR"/>
              </w:rPr>
            </w:pPr>
            <w:r w:rsidRPr="00056BE4">
              <w:rPr>
                <w:sz w:val="20"/>
                <w:szCs w:val="20"/>
                <w:lang w:val="fr-FR"/>
              </w:rPr>
              <w:t>Montant des prestations versées durant la période de déclaration aux épargnants PEPP ayant souscrit aux autres options d’investissement en voie de liquidation. Ce montant ne comprend que les prestations de retraite versées en une fois.</w:t>
            </w:r>
          </w:p>
        </w:tc>
      </w:tr>
      <w:tr w:rsidR="00D02AF7" w:rsidRPr="0061324A" w:rsidTr="00AD3A49">
        <w:trPr>
          <w:cantSplit/>
        </w:trPr>
        <w:tc>
          <w:tcPr>
            <w:tcW w:w="1696" w:type="dxa"/>
          </w:tcPr>
          <w:p w:rsidR="00D02AF7" w:rsidRPr="00E34630" w:rsidRDefault="00D02AF7" w:rsidP="00AD3A49">
            <w:pPr>
              <w:pStyle w:val="Default"/>
              <w:rPr>
                <w:sz w:val="20"/>
                <w:szCs w:val="20"/>
                <w:lang w:val="fr-FR"/>
              </w:rPr>
            </w:pPr>
            <w:r w:rsidRPr="00056BE4">
              <w:rPr>
                <w:sz w:val="20"/>
                <w:szCs w:val="20"/>
                <w:lang w:val="fr-FR"/>
              </w:rPr>
              <w:t>C0230/R0060</w:t>
            </w:r>
          </w:p>
        </w:tc>
        <w:tc>
          <w:tcPr>
            <w:tcW w:w="2835" w:type="dxa"/>
            <w:noWrap/>
          </w:tcPr>
          <w:p w:rsidR="00D02AF7" w:rsidRPr="00E34630" w:rsidRDefault="00D02AF7" w:rsidP="00AD3A49">
            <w:pPr>
              <w:pStyle w:val="Default"/>
              <w:rPr>
                <w:sz w:val="20"/>
                <w:szCs w:val="20"/>
                <w:lang w:val="fr-FR"/>
              </w:rPr>
            </w:pPr>
            <w:r w:rsidRPr="00056BE4">
              <w:rPr>
                <w:sz w:val="20"/>
                <w:szCs w:val="20"/>
                <w:lang w:val="fr-FR"/>
              </w:rPr>
              <w:t>Prestations de retraite perçues sous forme de retraits au titre des autres options d’investissement en voie de liquidation</w:t>
            </w:r>
          </w:p>
        </w:tc>
        <w:tc>
          <w:tcPr>
            <w:tcW w:w="4531" w:type="dxa"/>
          </w:tcPr>
          <w:p w:rsidR="00D02AF7" w:rsidRPr="00E34630" w:rsidRDefault="00D02AF7" w:rsidP="00AD3A49">
            <w:pPr>
              <w:pStyle w:val="Default"/>
              <w:rPr>
                <w:sz w:val="20"/>
                <w:szCs w:val="20"/>
                <w:lang w:val="fr-FR"/>
              </w:rPr>
            </w:pPr>
            <w:r w:rsidRPr="00056BE4">
              <w:rPr>
                <w:sz w:val="20"/>
                <w:szCs w:val="20"/>
                <w:lang w:val="fr-FR"/>
              </w:rPr>
              <w:t>Montant des prestations perçues durant la période de déclaration par les épargnants PEPP ayant souscrit aux autres options d’investissement en voie de liquidation. Ce montant ne comprend que les prestations de retraite perçues sous forme de retraits.</w:t>
            </w:r>
          </w:p>
        </w:tc>
      </w:tr>
      <w:tr w:rsidR="00D02AF7" w:rsidRPr="0061324A" w:rsidTr="00AD3A49">
        <w:trPr>
          <w:cantSplit/>
        </w:trPr>
        <w:tc>
          <w:tcPr>
            <w:tcW w:w="1696" w:type="dxa"/>
          </w:tcPr>
          <w:p w:rsidR="00D02AF7" w:rsidRPr="00056BE4" w:rsidRDefault="00D02AF7" w:rsidP="00AD3A49">
            <w:pPr>
              <w:pStyle w:val="Default"/>
              <w:rPr>
                <w:sz w:val="20"/>
                <w:szCs w:val="20"/>
                <w:lang w:val="fr-FR"/>
              </w:rPr>
            </w:pPr>
            <w:r w:rsidRPr="00056BE4">
              <w:rPr>
                <w:sz w:val="20"/>
                <w:szCs w:val="20"/>
                <w:lang w:val="fr-FR"/>
              </w:rPr>
              <w:t>C0240/R0060</w:t>
            </w:r>
          </w:p>
        </w:tc>
        <w:tc>
          <w:tcPr>
            <w:tcW w:w="2835" w:type="dxa"/>
            <w:noWrap/>
          </w:tcPr>
          <w:p w:rsidR="00D02AF7" w:rsidRPr="00056BE4" w:rsidRDefault="00D02AF7" w:rsidP="00AD3A49">
            <w:pPr>
              <w:pStyle w:val="Default"/>
              <w:rPr>
                <w:sz w:val="20"/>
                <w:szCs w:val="20"/>
                <w:lang w:val="fr-FR"/>
              </w:rPr>
            </w:pPr>
            <w:r w:rsidRPr="00056BE4">
              <w:rPr>
                <w:sz w:val="20"/>
                <w:szCs w:val="20"/>
                <w:lang w:val="fr-FR"/>
              </w:rPr>
              <w:t>Prestations autres que de retraite pour les autres options d’investissement en voie de liquidation</w:t>
            </w:r>
          </w:p>
        </w:tc>
        <w:tc>
          <w:tcPr>
            <w:tcW w:w="4531" w:type="dxa"/>
          </w:tcPr>
          <w:p w:rsidR="00D02AF7" w:rsidRPr="00056BE4" w:rsidRDefault="00D02AF7" w:rsidP="00AD3A49">
            <w:pPr>
              <w:pStyle w:val="Default"/>
              <w:rPr>
                <w:sz w:val="20"/>
                <w:szCs w:val="20"/>
                <w:lang w:val="fr-FR"/>
              </w:rPr>
            </w:pPr>
            <w:r w:rsidRPr="00056BE4">
              <w:rPr>
                <w:sz w:val="20"/>
                <w:szCs w:val="20"/>
                <w:lang w:val="fr-FR"/>
              </w:rPr>
              <w:t>Montant des prestations versées durant la période de déclaration à des épargnants PEPP ayant souscrit aux autres options d’investissement en voie de liquidation. Ce montant ne comprend que les prestations liées à la couverture de risques autres que la retraite (risques biométriques et autres options disponibles).</w:t>
            </w:r>
          </w:p>
        </w:tc>
      </w:tr>
      <w:tr w:rsidR="00D02AF7" w:rsidRPr="0061324A" w:rsidTr="00AD3A49">
        <w:trPr>
          <w:cantSplit/>
        </w:trPr>
        <w:tc>
          <w:tcPr>
            <w:tcW w:w="1696" w:type="dxa"/>
          </w:tcPr>
          <w:p w:rsidR="00D02AF7" w:rsidRPr="00056BE4" w:rsidRDefault="00D02AF7" w:rsidP="00AD3A49">
            <w:pPr>
              <w:pStyle w:val="Default"/>
              <w:rPr>
                <w:sz w:val="20"/>
                <w:szCs w:val="20"/>
                <w:lang w:val="fr-FR"/>
              </w:rPr>
            </w:pPr>
            <w:r w:rsidRPr="00056BE4">
              <w:rPr>
                <w:sz w:val="20"/>
                <w:szCs w:val="20"/>
                <w:lang w:val="fr-FR"/>
              </w:rPr>
              <w:t>C0250/R0060</w:t>
            </w:r>
          </w:p>
        </w:tc>
        <w:tc>
          <w:tcPr>
            <w:tcW w:w="2835" w:type="dxa"/>
            <w:noWrap/>
          </w:tcPr>
          <w:p w:rsidR="00D02AF7" w:rsidRPr="00056BE4" w:rsidRDefault="00D02AF7" w:rsidP="00AD3A49">
            <w:pPr>
              <w:pStyle w:val="Default"/>
              <w:rPr>
                <w:sz w:val="20"/>
                <w:szCs w:val="20"/>
                <w:lang w:val="fr-FR"/>
              </w:rPr>
            </w:pPr>
            <w:r w:rsidRPr="00056BE4">
              <w:rPr>
                <w:sz w:val="20"/>
                <w:szCs w:val="20"/>
                <w:lang w:val="fr-FR"/>
              </w:rPr>
              <w:t>Nombre de notifications au titre de l’article 20, paragraphe 1, du règlement (UE) 2019/1238 reçues d’épargnants PEPP qui se sont installés dans un autre État membre, pour les autres options d’investissement en voie de liquidation</w:t>
            </w:r>
          </w:p>
        </w:tc>
        <w:tc>
          <w:tcPr>
            <w:tcW w:w="4531" w:type="dxa"/>
          </w:tcPr>
          <w:p w:rsidR="00D02AF7" w:rsidRPr="00056BE4" w:rsidRDefault="00D02AF7" w:rsidP="00AD3A49">
            <w:pPr>
              <w:pStyle w:val="Default"/>
              <w:rPr>
                <w:sz w:val="20"/>
                <w:szCs w:val="20"/>
                <w:lang w:val="fr-FR"/>
              </w:rPr>
            </w:pPr>
            <w:r w:rsidRPr="00056BE4">
              <w:rPr>
                <w:sz w:val="20"/>
                <w:szCs w:val="20"/>
                <w:lang w:val="fr-FR"/>
              </w:rPr>
              <w:t>Nombre de notifications de changement d’État membre de résidence reçues d’épargnants PEPP ayant souscrit aux autres options d’investissement en voie de liquidation.</w:t>
            </w:r>
          </w:p>
        </w:tc>
      </w:tr>
      <w:tr w:rsidR="00D02AF7" w:rsidRPr="0061324A" w:rsidTr="00AD3A49">
        <w:trPr>
          <w:cantSplit/>
        </w:trPr>
        <w:tc>
          <w:tcPr>
            <w:tcW w:w="1696" w:type="dxa"/>
          </w:tcPr>
          <w:p w:rsidR="00D02AF7" w:rsidRPr="00056BE4" w:rsidRDefault="00D02AF7" w:rsidP="00AD3A49">
            <w:pPr>
              <w:pStyle w:val="Default"/>
              <w:rPr>
                <w:sz w:val="20"/>
                <w:szCs w:val="20"/>
                <w:lang w:val="fr-FR"/>
              </w:rPr>
            </w:pPr>
            <w:r w:rsidRPr="00056BE4">
              <w:rPr>
                <w:sz w:val="20"/>
                <w:szCs w:val="20"/>
                <w:lang w:val="fr-FR"/>
              </w:rPr>
              <w:t>C0260/R0060</w:t>
            </w:r>
          </w:p>
        </w:tc>
        <w:tc>
          <w:tcPr>
            <w:tcW w:w="2835" w:type="dxa"/>
            <w:noWrap/>
          </w:tcPr>
          <w:p w:rsidR="00D02AF7" w:rsidRPr="00056BE4" w:rsidRDefault="00D02AF7" w:rsidP="00AD3A49">
            <w:pPr>
              <w:pStyle w:val="Default"/>
              <w:rPr>
                <w:sz w:val="20"/>
                <w:szCs w:val="20"/>
                <w:lang w:val="fr-FR"/>
              </w:rPr>
            </w:pPr>
            <w:r w:rsidRPr="00056BE4">
              <w:rPr>
                <w:sz w:val="20"/>
                <w:szCs w:val="20"/>
                <w:lang w:val="fr-FR"/>
              </w:rPr>
              <w:t xml:space="preserve">Nombre de demandes d’ouverture d’un </w:t>
            </w:r>
            <w:proofErr w:type="spellStart"/>
            <w:r w:rsidRPr="00056BE4">
              <w:rPr>
                <w:sz w:val="20"/>
                <w:szCs w:val="20"/>
                <w:lang w:val="fr-FR"/>
              </w:rPr>
              <w:t>sous-compte</w:t>
            </w:r>
            <w:proofErr w:type="spellEnd"/>
            <w:r w:rsidRPr="00056BE4">
              <w:rPr>
                <w:sz w:val="20"/>
                <w:szCs w:val="20"/>
                <w:lang w:val="fr-FR"/>
              </w:rPr>
              <w:t xml:space="preserve"> en vertu de l’article 20, paragraphe 2, du règlement (UE) 2019/1238 pour les autres options d’investissement en voie de liquidation</w:t>
            </w:r>
          </w:p>
        </w:tc>
        <w:tc>
          <w:tcPr>
            <w:tcW w:w="4531" w:type="dxa"/>
          </w:tcPr>
          <w:p w:rsidR="00D02AF7" w:rsidRPr="00056BE4" w:rsidRDefault="00D02AF7" w:rsidP="00AD3A49">
            <w:pPr>
              <w:pStyle w:val="Default"/>
              <w:rPr>
                <w:sz w:val="20"/>
                <w:szCs w:val="20"/>
                <w:lang w:val="fr-FR"/>
              </w:rPr>
            </w:pPr>
            <w:r w:rsidRPr="00056BE4">
              <w:rPr>
                <w:sz w:val="20"/>
                <w:szCs w:val="20"/>
                <w:lang w:val="fr-FR"/>
              </w:rPr>
              <w:t xml:space="preserve">Nombre de demandes d’ouverture d’un nouveau </w:t>
            </w:r>
            <w:proofErr w:type="spellStart"/>
            <w:r w:rsidRPr="00056BE4">
              <w:rPr>
                <w:sz w:val="20"/>
                <w:szCs w:val="20"/>
                <w:lang w:val="fr-FR"/>
              </w:rPr>
              <w:t>sous-compte</w:t>
            </w:r>
            <w:proofErr w:type="spellEnd"/>
            <w:r w:rsidRPr="00056BE4">
              <w:rPr>
                <w:sz w:val="20"/>
                <w:szCs w:val="20"/>
                <w:lang w:val="fr-FR"/>
              </w:rPr>
              <w:t>, pour les autres options d’investissement en voie de liquidation, reçues d’épargnants qui ont informé le fournisseur de PEPP de leur intention de changer d’État membre de résidence.</w:t>
            </w:r>
          </w:p>
        </w:tc>
      </w:tr>
      <w:tr w:rsidR="00D02AF7" w:rsidRPr="0061324A" w:rsidTr="00AD3A49">
        <w:trPr>
          <w:cantSplit/>
        </w:trPr>
        <w:tc>
          <w:tcPr>
            <w:tcW w:w="1696" w:type="dxa"/>
          </w:tcPr>
          <w:p w:rsidR="00D02AF7" w:rsidRPr="00056BE4" w:rsidRDefault="00D02AF7" w:rsidP="00AD3A49">
            <w:pPr>
              <w:pStyle w:val="Default"/>
              <w:rPr>
                <w:sz w:val="20"/>
                <w:szCs w:val="20"/>
                <w:lang w:val="fr-FR"/>
              </w:rPr>
            </w:pPr>
            <w:r w:rsidRPr="00056BE4">
              <w:rPr>
                <w:sz w:val="20"/>
                <w:szCs w:val="20"/>
                <w:lang w:val="fr-FR"/>
              </w:rPr>
              <w:t>C0270/R0060</w:t>
            </w:r>
          </w:p>
        </w:tc>
        <w:tc>
          <w:tcPr>
            <w:tcW w:w="2835" w:type="dxa"/>
            <w:noWrap/>
          </w:tcPr>
          <w:p w:rsidR="00D02AF7" w:rsidRPr="00056BE4" w:rsidRDefault="00D02AF7" w:rsidP="00AD3A49">
            <w:pPr>
              <w:pStyle w:val="Default"/>
              <w:rPr>
                <w:sz w:val="20"/>
                <w:szCs w:val="20"/>
                <w:lang w:val="fr-FR"/>
              </w:rPr>
            </w:pPr>
            <w:r w:rsidRPr="00056BE4">
              <w:rPr>
                <w:sz w:val="20"/>
                <w:szCs w:val="20"/>
                <w:lang w:val="fr-FR"/>
              </w:rPr>
              <w:t xml:space="preserve">Nombre de </w:t>
            </w:r>
            <w:proofErr w:type="spellStart"/>
            <w:r w:rsidRPr="00056BE4">
              <w:rPr>
                <w:sz w:val="20"/>
                <w:szCs w:val="20"/>
                <w:lang w:val="fr-FR"/>
              </w:rPr>
              <w:t>sous-comptes</w:t>
            </w:r>
            <w:proofErr w:type="spellEnd"/>
            <w:r w:rsidRPr="00056BE4">
              <w:rPr>
                <w:sz w:val="20"/>
                <w:szCs w:val="20"/>
                <w:lang w:val="fr-FR"/>
              </w:rPr>
              <w:t xml:space="preserve"> ouverts en vertu de l’article 20, paragraphe 2, du règlement (UE) 2019/1238 pour les autres options d’investissement en voie de liquidation</w:t>
            </w:r>
          </w:p>
        </w:tc>
        <w:tc>
          <w:tcPr>
            <w:tcW w:w="4531" w:type="dxa"/>
          </w:tcPr>
          <w:p w:rsidR="00D02AF7" w:rsidRPr="00056BE4" w:rsidRDefault="00D02AF7" w:rsidP="00AD3A49">
            <w:pPr>
              <w:pStyle w:val="Default"/>
              <w:rPr>
                <w:sz w:val="20"/>
                <w:szCs w:val="20"/>
                <w:lang w:val="fr-FR"/>
              </w:rPr>
            </w:pPr>
            <w:r w:rsidRPr="00056BE4">
              <w:rPr>
                <w:sz w:val="20"/>
                <w:szCs w:val="20"/>
                <w:lang w:val="fr-FR"/>
              </w:rPr>
              <w:t xml:space="preserve">Nombre de </w:t>
            </w:r>
            <w:proofErr w:type="spellStart"/>
            <w:r w:rsidRPr="00056BE4">
              <w:rPr>
                <w:sz w:val="20"/>
                <w:szCs w:val="20"/>
                <w:lang w:val="fr-FR"/>
              </w:rPr>
              <w:t>sous-comptes</w:t>
            </w:r>
            <w:proofErr w:type="spellEnd"/>
            <w:r w:rsidRPr="00056BE4">
              <w:rPr>
                <w:sz w:val="20"/>
                <w:szCs w:val="20"/>
                <w:lang w:val="fr-FR"/>
              </w:rPr>
              <w:t xml:space="preserve"> effectivement ouverts pour les autres options d’investissement en voie de liquidation à la demande d’épargnants qui ont informé le fournisseur de PEPP de leur intention de changer d’État membre de résidence.</w:t>
            </w:r>
          </w:p>
        </w:tc>
      </w:tr>
      <w:tr w:rsidR="00D02AF7" w:rsidRPr="0061324A" w:rsidTr="00AD3A49">
        <w:trPr>
          <w:cantSplit/>
        </w:trPr>
        <w:tc>
          <w:tcPr>
            <w:tcW w:w="1696" w:type="dxa"/>
          </w:tcPr>
          <w:p w:rsidR="00D02AF7" w:rsidRPr="00056BE4" w:rsidRDefault="00D02AF7" w:rsidP="00AD3A49">
            <w:pPr>
              <w:pStyle w:val="Default"/>
              <w:rPr>
                <w:sz w:val="20"/>
                <w:szCs w:val="20"/>
                <w:lang w:val="fr-FR"/>
              </w:rPr>
            </w:pPr>
            <w:r w:rsidRPr="00056BE4">
              <w:rPr>
                <w:sz w:val="20"/>
                <w:szCs w:val="20"/>
                <w:lang w:val="fr-FR"/>
              </w:rPr>
              <w:t>C0280/R0060</w:t>
            </w:r>
          </w:p>
        </w:tc>
        <w:tc>
          <w:tcPr>
            <w:tcW w:w="2835" w:type="dxa"/>
            <w:noWrap/>
          </w:tcPr>
          <w:p w:rsidR="00D02AF7" w:rsidRPr="00056BE4" w:rsidRDefault="00D02AF7" w:rsidP="00AD3A49">
            <w:pPr>
              <w:pStyle w:val="Default"/>
              <w:rPr>
                <w:sz w:val="20"/>
                <w:szCs w:val="20"/>
                <w:lang w:val="fr-FR"/>
              </w:rPr>
            </w:pPr>
            <w:r w:rsidRPr="00056BE4">
              <w:rPr>
                <w:sz w:val="20"/>
                <w:szCs w:val="20"/>
                <w:lang w:val="fr-FR"/>
              </w:rPr>
              <w:t>Nombre de demandes de changement de fournisseur faites par des épargnants PEPP en vertu de l’article 20, paragraphe 5, point a), du règlement (UE) 2019/1238 pour les autres options d’investissement en voie de liquidation</w:t>
            </w:r>
          </w:p>
        </w:tc>
        <w:tc>
          <w:tcPr>
            <w:tcW w:w="4531" w:type="dxa"/>
          </w:tcPr>
          <w:p w:rsidR="00D02AF7" w:rsidRPr="00056BE4" w:rsidRDefault="00D02AF7" w:rsidP="00AD3A49">
            <w:pPr>
              <w:pStyle w:val="Default"/>
              <w:rPr>
                <w:sz w:val="20"/>
                <w:szCs w:val="20"/>
                <w:lang w:val="fr-FR"/>
              </w:rPr>
            </w:pPr>
            <w:r w:rsidRPr="00056BE4">
              <w:rPr>
                <w:sz w:val="20"/>
                <w:szCs w:val="20"/>
                <w:lang w:val="fr-FR"/>
              </w:rPr>
              <w:t xml:space="preserve">Nombre de demandes de changement de fournisseur de PEPP dues à l’incapacité du fournisseur actuel de créer un </w:t>
            </w:r>
            <w:proofErr w:type="spellStart"/>
            <w:r w:rsidRPr="00056BE4">
              <w:rPr>
                <w:sz w:val="20"/>
                <w:szCs w:val="20"/>
                <w:lang w:val="fr-FR"/>
              </w:rPr>
              <w:t>sous-compte</w:t>
            </w:r>
            <w:proofErr w:type="spellEnd"/>
            <w:r w:rsidRPr="00056BE4">
              <w:rPr>
                <w:sz w:val="20"/>
                <w:szCs w:val="20"/>
                <w:lang w:val="fr-FR"/>
              </w:rPr>
              <w:t xml:space="preserve"> pour les épargnants ayant souscrit aux autres options d’investissement en voie de liquidation qui changent d’État membre de résidence.</w:t>
            </w:r>
          </w:p>
        </w:tc>
      </w:tr>
      <w:tr w:rsidR="00D02AF7" w:rsidRPr="0061324A" w:rsidTr="00AD3A49">
        <w:trPr>
          <w:cantSplit/>
        </w:trPr>
        <w:tc>
          <w:tcPr>
            <w:tcW w:w="1696" w:type="dxa"/>
          </w:tcPr>
          <w:p w:rsidR="00D02AF7" w:rsidRPr="00056BE4" w:rsidRDefault="00D02AF7" w:rsidP="00AD3A49">
            <w:pPr>
              <w:pStyle w:val="Default"/>
              <w:rPr>
                <w:sz w:val="20"/>
                <w:szCs w:val="20"/>
                <w:lang w:val="fr-FR"/>
              </w:rPr>
            </w:pPr>
            <w:r w:rsidRPr="00056BE4">
              <w:rPr>
                <w:sz w:val="20"/>
                <w:szCs w:val="20"/>
                <w:lang w:val="fr-FR"/>
              </w:rPr>
              <w:t>C0290/R0060</w:t>
            </w:r>
          </w:p>
        </w:tc>
        <w:tc>
          <w:tcPr>
            <w:tcW w:w="2835" w:type="dxa"/>
            <w:noWrap/>
          </w:tcPr>
          <w:p w:rsidR="00D02AF7" w:rsidRPr="00056BE4" w:rsidRDefault="00D02AF7" w:rsidP="00AD3A49">
            <w:pPr>
              <w:pStyle w:val="Default"/>
              <w:rPr>
                <w:sz w:val="20"/>
                <w:szCs w:val="20"/>
                <w:lang w:val="fr-FR"/>
              </w:rPr>
            </w:pPr>
            <w:r w:rsidRPr="00056BE4">
              <w:rPr>
                <w:sz w:val="20"/>
                <w:szCs w:val="20"/>
                <w:lang w:val="fr-FR"/>
              </w:rPr>
              <w:t>Transferts effectués en vertu de l’article 20, paragraphe 5, du règlement (UE) 2019/1238 pour les autres options d’investissement en voie de liquidation</w:t>
            </w:r>
          </w:p>
        </w:tc>
        <w:tc>
          <w:tcPr>
            <w:tcW w:w="4531" w:type="dxa"/>
          </w:tcPr>
          <w:p w:rsidR="00D02AF7" w:rsidRPr="00056BE4" w:rsidRDefault="00D02AF7" w:rsidP="00AD3A49">
            <w:pPr>
              <w:pStyle w:val="Default"/>
              <w:rPr>
                <w:sz w:val="20"/>
                <w:szCs w:val="20"/>
                <w:lang w:val="fr-FR"/>
              </w:rPr>
            </w:pPr>
            <w:r w:rsidRPr="00056BE4">
              <w:rPr>
                <w:sz w:val="20"/>
                <w:szCs w:val="20"/>
                <w:lang w:val="fr-FR"/>
              </w:rPr>
              <w:t xml:space="preserve">Montant des transferts effectués vers un autre fournisseur de PEPP en raison de l’incapacité du fournisseur actuel de créer un </w:t>
            </w:r>
            <w:proofErr w:type="spellStart"/>
            <w:r w:rsidRPr="00056BE4">
              <w:rPr>
                <w:sz w:val="20"/>
                <w:szCs w:val="20"/>
                <w:lang w:val="fr-FR"/>
              </w:rPr>
              <w:t>sous-compte</w:t>
            </w:r>
            <w:proofErr w:type="spellEnd"/>
            <w:r w:rsidRPr="00056BE4">
              <w:rPr>
                <w:sz w:val="20"/>
                <w:szCs w:val="20"/>
                <w:lang w:val="fr-FR"/>
              </w:rPr>
              <w:t xml:space="preserve"> pour les épargnants ayant souscrit aux autres options d’investissement en voie de liquidation qui changent d’État membre de résidence.</w:t>
            </w:r>
          </w:p>
        </w:tc>
      </w:tr>
      <w:tr w:rsidR="00D02AF7" w:rsidRPr="0061324A" w:rsidTr="00AD3A49">
        <w:trPr>
          <w:cantSplit/>
        </w:trPr>
        <w:tc>
          <w:tcPr>
            <w:tcW w:w="1696" w:type="dxa"/>
          </w:tcPr>
          <w:p w:rsidR="00D02AF7" w:rsidRPr="00056BE4" w:rsidRDefault="00D02AF7" w:rsidP="00AD3A49">
            <w:pPr>
              <w:pStyle w:val="Default"/>
              <w:rPr>
                <w:sz w:val="20"/>
                <w:szCs w:val="20"/>
                <w:lang w:val="fr-FR"/>
              </w:rPr>
            </w:pPr>
            <w:r w:rsidRPr="00056BE4">
              <w:rPr>
                <w:sz w:val="20"/>
                <w:szCs w:val="20"/>
                <w:lang w:val="fr-FR"/>
              </w:rPr>
              <w:t>C0300/R0060</w:t>
            </w:r>
          </w:p>
        </w:tc>
        <w:tc>
          <w:tcPr>
            <w:tcW w:w="2835" w:type="dxa"/>
            <w:noWrap/>
          </w:tcPr>
          <w:p w:rsidR="00D02AF7" w:rsidRPr="00056BE4" w:rsidRDefault="00D02AF7" w:rsidP="00AD3A49">
            <w:pPr>
              <w:pStyle w:val="Default"/>
              <w:rPr>
                <w:sz w:val="20"/>
                <w:szCs w:val="20"/>
                <w:lang w:val="fr-FR"/>
              </w:rPr>
            </w:pPr>
            <w:r w:rsidRPr="00056BE4">
              <w:rPr>
                <w:sz w:val="20"/>
                <w:szCs w:val="20"/>
                <w:lang w:val="fr-FR"/>
              </w:rPr>
              <w:t>Nombre de demandes de changement de fournisseur faites par des épargnants PEPP en vertu de l’article 52, paragraphe 3, du règlement (UE) 2019/1238 pour les autres options d’investissement en voie de liquidation</w:t>
            </w:r>
          </w:p>
        </w:tc>
        <w:tc>
          <w:tcPr>
            <w:tcW w:w="4531" w:type="dxa"/>
          </w:tcPr>
          <w:p w:rsidR="00D02AF7" w:rsidRPr="00056BE4" w:rsidRDefault="00D02AF7" w:rsidP="00AD3A49">
            <w:pPr>
              <w:pStyle w:val="Default"/>
              <w:rPr>
                <w:sz w:val="20"/>
                <w:szCs w:val="20"/>
                <w:lang w:val="fr-FR"/>
              </w:rPr>
            </w:pPr>
            <w:r w:rsidRPr="00056BE4">
              <w:rPr>
                <w:sz w:val="20"/>
                <w:szCs w:val="20"/>
                <w:lang w:val="fr-FR"/>
              </w:rPr>
              <w:t>Nombre de demandes de changement de fournisseur de PEPP faites en vertu de l’article 52, paragraphe 3, du règlement (UE) 2019/1238 par des épargnants ayant souscrit aux autres options d’investissement en voie de liquidation.</w:t>
            </w:r>
          </w:p>
        </w:tc>
      </w:tr>
      <w:tr w:rsidR="00D02AF7" w:rsidRPr="0061324A" w:rsidTr="00AD3A49">
        <w:trPr>
          <w:cantSplit/>
        </w:trPr>
        <w:tc>
          <w:tcPr>
            <w:tcW w:w="1696" w:type="dxa"/>
          </w:tcPr>
          <w:p w:rsidR="00D02AF7" w:rsidRPr="00056BE4" w:rsidRDefault="00D02AF7" w:rsidP="00AD3A49">
            <w:pPr>
              <w:pStyle w:val="Default"/>
              <w:rPr>
                <w:sz w:val="20"/>
                <w:szCs w:val="20"/>
                <w:lang w:val="fr-FR"/>
              </w:rPr>
            </w:pPr>
            <w:r w:rsidRPr="00056BE4">
              <w:rPr>
                <w:sz w:val="20"/>
                <w:szCs w:val="20"/>
                <w:lang w:val="fr-FR"/>
              </w:rPr>
              <w:t>C0310/R0060</w:t>
            </w:r>
          </w:p>
        </w:tc>
        <w:tc>
          <w:tcPr>
            <w:tcW w:w="2835" w:type="dxa"/>
            <w:noWrap/>
          </w:tcPr>
          <w:p w:rsidR="00D02AF7" w:rsidRPr="00056BE4" w:rsidRDefault="00D02AF7" w:rsidP="00AD3A49">
            <w:pPr>
              <w:pStyle w:val="Default"/>
              <w:rPr>
                <w:sz w:val="20"/>
                <w:szCs w:val="20"/>
                <w:lang w:val="fr-FR"/>
              </w:rPr>
            </w:pPr>
            <w:r w:rsidRPr="00056BE4">
              <w:rPr>
                <w:sz w:val="20"/>
                <w:szCs w:val="20"/>
                <w:lang w:val="fr-FR"/>
              </w:rPr>
              <w:t>Transferts effectués en vertu de l’article 52, paragraphe 3, du règlement (UE) 2019/1238 pour les autres options d’investissement en voie de liquidation</w:t>
            </w:r>
          </w:p>
        </w:tc>
        <w:tc>
          <w:tcPr>
            <w:tcW w:w="4531" w:type="dxa"/>
          </w:tcPr>
          <w:p w:rsidR="00D02AF7" w:rsidRPr="00056BE4" w:rsidRDefault="00D02AF7" w:rsidP="00AD3A49">
            <w:pPr>
              <w:pStyle w:val="Default"/>
              <w:rPr>
                <w:sz w:val="20"/>
                <w:szCs w:val="20"/>
                <w:lang w:val="fr-FR"/>
              </w:rPr>
            </w:pPr>
            <w:r w:rsidRPr="00056BE4">
              <w:rPr>
                <w:sz w:val="20"/>
                <w:szCs w:val="20"/>
                <w:lang w:val="fr-FR"/>
              </w:rPr>
              <w:t>Montant des transferts effectués vers un autre fournisseur de PEPP en vertu de l’article 52, paragraphe 3, du règlement (UE) 2019/1238 à la demande d’épargnants ayant souscrit aux autres options d’investissement en voie de liquidation.</w:t>
            </w:r>
          </w:p>
        </w:tc>
      </w:tr>
      <w:tr w:rsidR="00D02AF7" w:rsidRPr="0061324A" w:rsidTr="00AD3A49">
        <w:trPr>
          <w:cantSplit/>
        </w:trPr>
        <w:tc>
          <w:tcPr>
            <w:tcW w:w="1696" w:type="dxa"/>
          </w:tcPr>
          <w:p w:rsidR="00D02AF7" w:rsidRPr="00056BE4" w:rsidRDefault="00D02AF7" w:rsidP="00AD3A49">
            <w:pPr>
              <w:pStyle w:val="Default"/>
              <w:rPr>
                <w:sz w:val="20"/>
                <w:szCs w:val="20"/>
                <w:lang w:val="fr-FR"/>
              </w:rPr>
            </w:pPr>
            <w:r w:rsidRPr="00056BE4">
              <w:rPr>
                <w:sz w:val="20"/>
                <w:szCs w:val="20"/>
                <w:lang w:val="fr-FR"/>
              </w:rPr>
              <w:t>C0320/R0060</w:t>
            </w:r>
          </w:p>
        </w:tc>
        <w:tc>
          <w:tcPr>
            <w:tcW w:w="2835" w:type="dxa"/>
            <w:noWrap/>
          </w:tcPr>
          <w:p w:rsidR="00D02AF7" w:rsidRPr="00056BE4" w:rsidRDefault="00D02AF7" w:rsidP="00AD3A49">
            <w:pPr>
              <w:pStyle w:val="Default"/>
              <w:rPr>
                <w:sz w:val="20"/>
                <w:szCs w:val="20"/>
                <w:lang w:val="fr-FR"/>
              </w:rPr>
            </w:pPr>
            <w:r w:rsidRPr="00056BE4">
              <w:rPr>
                <w:sz w:val="20"/>
                <w:szCs w:val="20"/>
                <w:lang w:val="fr-FR"/>
              </w:rPr>
              <w:t>Actifs des autres options d’investissement en voie de liquidation</w:t>
            </w:r>
          </w:p>
        </w:tc>
        <w:tc>
          <w:tcPr>
            <w:tcW w:w="4531" w:type="dxa"/>
          </w:tcPr>
          <w:p w:rsidR="00D02AF7" w:rsidRPr="00056BE4" w:rsidRDefault="00D02AF7" w:rsidP="00AD3A49">
            <w:pPr>
              <w:pStyle w:val="Default"/>
              <w:rPr>
                <w:sz w:val="20"/>
                <w:szCs w:val="20"/>
                <w:lang w:val="fr-FR"/>
              </w:rPr>
            </w:pPr>
            <w:r w:rsidRPr="00056BE4">
              <w:rPr>
                <w:sz w:val="20"/>
                <w:szCs w:val="20"/>
                <w:lang w:val="fr-FR"/>
              </w:rPr>
              <w:t>Montant total des actifs liés aux autres options d’investissement en voie de liquidation.</w:t>
            </w:r>
          </w:p>
        </w:tc>
      </w:tr>
      <w:tr w:rsidR="00D02AF7" w:rsidRPr="0061324A" w:rsidTr="00AD3A49">
        <w:trPr>
          <w:cantSplit/>
        </w:trPr>
        <w:tc>
          <w:tcPr>
            <w:tcW w:w="1696" w:type="dxa"/>
          </w:tcPr>
          <w:p w:rsidR="00D02AF7" w:rsidRPr="00056BE4" w:rsidRDefault="00D02AF7" w:rsidP="00AD3A49">
            <w:pPr>
              <w:pStyle w:val="Default"/>
              <w:rPr>
                <w:sz w:val="20"/>
                <w:szCs w:val="20"/>
                <w:lang w:val="fr-FR"/>
              </w:rPr>
            </w:pPr>
            <w:r w:rsidRPr="00056BE4">
              <w:rPr>
                <w:sz w:val="20"/>
                <w:szCs w:val="20"/>
                <w:lang w:val="fr-FR"/>
              </w:rPr>
              <w:t>C0330/R0060</w:t>
            </w:r>
          </w:p>
        </w:tc>
        <w:tc>
          <w:tcPr>
            <w:tcW w:w="2835" w:type="dxa"/>
            <w:noWrap/>
          </w:tcPr>
          <w:p w:rsidR="00D02AF7" w:rsidRPr="00056BE4" w:rsidRDefault="00D02AF7" w:rsidP="00AD3A49">
            <w:pPr>
              <w:pStyle w:val="Default"/>
              <w:rPr>
                <w:sz w:val="20"/>
                <w:szCs w:val="20"/>
                <w:lang w:val="fr-FR"/>
              </w:rPr>
            </w:pPr>
            <w:r w:rsidRPr="00056BE4">
              <w:rPr>
                <w:sz w:val="20"/>
                <w:szCs w:val="20"/>
                <w:lang w:val="fr-FR"/>
              </w:rPr>
              <w:t>Obligations liées aux autres options d’investissement en voie de liquidation</w:t>
            </w:r>
          </w:p>
        </w:tc>
        <w:tc>
          <w:tcPr>
            <w:tcW w:w="4531" w:type="dxa"/>
          </w:tcPr>
          <w:p w:rsidR="00D02AF7" w:rsidRPr="00056BE4" w:rsidRDefault="00D02AF7" w:rsidP="00AD3A49">
            <w:pPr>
              <w:pStyle w:val="Default"/>
              <w:rPr>
                <w:sz w:val="20"/>
                <w:szCs w:val="20"/>
                <w:lang w:val="fr-FR"/>
              </w:rPr>
            </w:pPr>
            <w:r w:rsidRPr="00056BE4">
              <w:rPr>
                <w:sz w:val="20"/>
                <w:szCs w:val="20"/>
                <w:lang w:val="fr-FR"/>
              </w:rPr>
              <w:t>Montant total des provisions techniques et autres passifs, le cas échéant, liés aux autres options d’investissement en voie de liquidation.</w:t>
            </w:r>
          </w:p>
        </w:tc>
      </w:tr>
      <w:tr w:rsidR="00D02AF7" w:rsidRPr="0061324A" w:rsidTr="00AD3A49">
        <w:trPr>
          <w:cantSplit/>
        </w:trPr>
        <w:tc>
          <w:tcPr>
            <w:tcW w:w="1696" w:type="dxa"/>
          </w:tcPr>
          <w:p w:rsidR="00D02AF7" w:rsidRPr="00056BE4" w:rsidRDefault="00D02AF7" w:rsidP="00AD3A49">
            <w:pPr>
              <w:pStyle w:val="Default"/>
              <w:rPr>
                <w:sz w:val="20"/>
                <w:szCs w:val="20"/>
                <w:lang w:val="fr-FR"/>
              </w:rPr>
            </w:pPr>
            <w:r w:rsidRPr="00056BE4">
              <w:rPr>
                <w:sz w:val="20"/>
                <w:szCs w:val="20"/>
                <w:lang w:val="fr-FR"/>
              </w:rPr>
              <w:t>C0340/R0060</w:t>
            </w:r>
          </w:p>
        </w:tc>
        <w:tc>
          <w:tcPr>
            <w:tcW w:w="2835" w:type="dxa"/>
            <w:noWrap/>
          </w:tcPr>
          <w:p w:rsidR="00D02AF7" w:rsidRPr="00056BE4" w:rsidRDefault="00D02AF7" w:rsidP="00AD3A49">
            <w:pPr>
              <w:pStyle w:val="Default"/>
              <w:rPr>
                <w:sz w:val="20"/>
                <w:szCs w:val="20"/>
                <w:lang w:val="fr-FR"/>
              </w:rPr>
            </w:pPr>
            <w:r w:rsidRPr="00056BE4">
              <w:rPr>
                <w:sz w:val="20"/>
                <w:szCs w:val="20"/>
                <w:lang w:val="fr-FR"/>
              </w:rPr>
              <w:t>Nombre de réclamations pour les autres options d’investissement en voie de liquidation</w:t>
            </w:r>
          </w:p>
        </w:tc>
        <w:tc>
          <w:tcPr>
            <w:tcW w:w="4531" w:type="dxa"/>
          </w:tcPr>
          <w:p w:rsidR="00D02AF7" w:rsidRPr="00056BE4" w:rsidRDefault="00D02AF7" w:rsidP="00AD3A49">
            <w:pPr>
              <w:pStyle w:val="Default"/>
              <w:rPr>
                <w:sz w:val="20"/>
                <w:szCs w:val="20"/>
                <w:lang w:val="fr-FR"/>
              </w:rPr>
            </w:pPr>
            <w:r w:rsidRPr="00056BE4">
              <w:rPr>
                <w:sz w:val="20"/>
                <w:szCs w:val="20"/>
                <w:lang w:val="fr-FR"/>
              </w:rPr>
              <w:t>Nombre total de réclamations reçues durant la période de déclaration pour les autres options d’investissement en voie de liquidation.</w:t>
            </w:r>
          </w:p>
        </w:tc>
      </w:tr>
    </w:tbl>
    <w:p w:rsidR="00D02AF7" w:rsidRDefault="00D02AF7" w:rsidP="00D02AF7"/>
    <w:p w:rsidR="009E5F35" w:rsidRPr="00054A98" w:rsidRDefault="009E5F35" w:rsidP="00054A98">
      <w:pPr>
        <w:spacing w:after="0" w:line="240" w:lineRule="auto"/>
      </w:pPr>
    </w:p>
    <w:p w:rsidR="009E5F35" w:rsidRPr="00054A98" w:rsidRDefault="009E5F35" w:rsidP="009E5F35">
      <w:pPr>
        <w:spacing w:after="0" w:line="240" w:lineRule="auto"/>
        <w:jc w:val="center"/>
      </w:pPr>
    </w:p>
    <w:p w:rsidR="009E5F35" w:rsidRPr="00054A98" w:rsidRDefault="009E5F35" w:rsidP="009E5F35">
      <w:pPr>
        <w:spacing w:after="0" w:line="240" w:lineRule="auto"/>
        <w:jc w:val="center"/>
      </w:pPr>
    </w:p>
    <w:p w:rsidR="009E5F35" w:rsidRPr="00054A98" w:rsidRDefault="009E5F35" w:rsidP="009E5F35">
      <w:pPr>
        <w:spacing w:after="0" w:line="240" w:lineRule="auto"/>
        <w:jc w:val="center"/>
      </w:pPr>
    </w:p>
    <w:p w:rsidR="009E5F35" w:rsidRPr="00054A98" w:rsidRDefault="009E5F35" w:rsidP="009E5F35">
      <w:pPr>
        <w:spacing w:after="0" w:line="240" w:lineRule="auto"/>
        <w:jc w:val="center"/>
      </w:pPr>
    </w:p>
    <w:p w:rsidR="009E5F35" w:rsidRPr="00054A98" w:rsidRDefault="009E5F35" w:rsidP="009E5F35">
      <w:pPr>
        <w:spacing w:after="0" w:line="240" w:lineRule="auto"/>
        <w:jc w:val="center"/>
      </w:pPr>
    </w:p>
    <w:p w:rsidR="009E5F35" w:rsidRPr="00054A98" w:rsidRDefault="009E5F35" w:rsidP="009E5F35">
      <w:pPr>
        <w:spacing w:after="0" w:line="240" w:lineRule="auto"/>
        <w:jc w:val="center"/>
      </w:pPr>
    </w:p>
    <w:p w:rsidR="009E5F35" w:rsidRPr="00054A98" w:rsidRDefault="009E5F35" w:rsidP="009E5F35">
      <w:pPr>
        <w:spacing w:after="0" w:line="240" w:lineRule="auto"/>
        <w:jc w:val="center"/>
      </w:pPr>
    </w:p>
    <w:p w:rsidR="009E5F35" w:rsidRPr="00054A98" w:rsidRDefault="009E5F35" w:rsidP="009E5F35">
      <w:pPr>
        <w:spacing w:after="0" w:line="240" w:lineRule="auto"/>
        <w:jc w:val="center"/>
      </w:pPr>
    </w:p>
    <w:p w:rsidR="009E5F35" w:rsidRPr="00054A98" w:rsidRDefault="009E5F35" w:rsidP="009E5F35">
      <w:pPr>
        <w:spacing w:after="0" w:line="240" w:lineRule="auto"/>
        <w:jc w:val="center"/>
      </w:pPr>
    </w:p>
    <w:p w:rsidR="009E5F35" w:rsidRPr="00054A98" w:rsidRDefault="009E5F35" w:rsidP="009E5F35">
      <w:pPr>
        <w:spacing w:after="0" w:line="240" w:lineRule="auto"/>
        <w:jc w:val="center"/>
      </w:pPr>
    </w:p>
    <w:p w:rsidR="009E5F35" w:rsidRPr="00054A98" w:rsidRDefault="009E5F35" w:rsidP="009E5F35">
      <w:pPr>
        <w:spacing w:after="0" w:line="240" w:lineRule="auto"/>
        <w:sectPr w:rsidR="009E5F35" w:rsidRPr="00054A98">
          <w:footerReference w:type="default" r:id="rId8"/>
          <w:pgSz w:w="11906" w:h="16838"/>
          <w:pgMar w:top="1417" w:right="1417" w:bottom="1417" w:left="1417" w:header="708" w:footer="708" w:gutter="0"/>
          <w:cols w:space="708"/>
          <w:docGrid w:linePitch="360"/>
        </w:sectPr>
      </w:pPr>
    </w:p>
    <w:p w:rsidR="00AD3A49" w:rsidRPr="003564E8" w:rsidRDefault="00AD3A49" w:rsidP="00AD3A49">
      <w:pPr>
        <w:spacing w:after="0" w:line="240" w:lineRule="auto"/>
      </w:pPr>
    </w:p>
    <w:tbl>
      <w:tblPr>
        <w:tblW w:w="13880" w:type="dxa"/>
        <w:tblCellMar>
          <w:left w:w="70" w:type="dxa"/>
          <w:right w:w="70" w:type="dxa"/>
        </w:tblCellMar>
        <w:tblLook w:val="04A0" w:firstRow="1" w:lastRow="0" w:firstColumn="1" w:lastColumn="0" w:noHBand="0" w:noVBand="1"/>
      </w:tblPr>
      <w:tblGrid>
        <w:gridCol w:w="2500"/>
        <w:gridCol w:w="1360"/>
        <w:gridCol w:w="1600"/>
        <w:gridCol w:w="1600"/>
        <w:gridCol w:w="1600"/>
        <w:gridCol w:w="1600"/>
        <w:gridCol w:w="1600"/>
        <w:gridCol w:w="2020"/>
      </w:tblGrid>
      <w:tr w:rsidR="00AD3A49" w:rsidRPr="00AD3A49" w:rsidTr="00AD3A49">
        <w:trPr>
          <w:trHeight w:val="300"/>
        </w:trPr>
        <w:tc>
          <w:tcPr>
            <w:tcW w:w="250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Calibri" w:eastAsia="Times New Roman" w:hAnsi="Calibri" w:cs="Calibri"/>
                <w:b/>
                <w:bCs/>
                <w:color w:val="FF0000"/>
                <w:lang w:eastAsia="fr-FR"/>
              </w:rPr>
            </w:pPr>
            <w:r w:rsidRPr="00AD3A49">
              <w:rPr>
                <w:rFonts w:ascii="Calibri" w:eastAsia="Times New Roman" w:hAnsi="Calibri" w:cs="Calibri"/>
                <w:b/>
                <w:bCs/>
                <w:color w:val="FF0000"/>
                <w:lang w:eastAsia="fr-FR"/>
              </w:rPr>
              <w:t>PF.52.01.24</w:t>
            </w:r>
          </w:p>
        </w:tc>
        <w:tc>
          <w:tcPr>
            <w:tcW w:w="136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Calibri" w:eastAsia="Times New Roman" w:hAnsi="Calibri" w:cs="Calibri"/>
                <w:b/>
                <w:bCs/>
                <w:color w:val="FF0000"/>
                <w:lang w:eastAsia="fr-FR"/>
              </w:rPr>
            </w:pPr>
          </w:p>
        </w:tc>
        <w:tc>
          <w:tcPr>
            <w:tcW w:w="160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160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6820" w:type="dxa"/>
            <w:gridSpan w:val="4"/>
            <w:tcBorders>
              <w:top w:val="nil"/>
              <w:left w:val="nil"/>
              <w:bottom w:val="nil"/>
              <w:right w:val="nil"/>
            </w:tcBorders>
            <w:shd w:val="clear" w:color="auto" w:fill="auto"/>
            <w:noWrap/>
            <w:vAlign w:val="center"/>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r>
      <w:tr w:rsidR="00AD3A49" w:rsidRPr="00AD3A49" w:rsidTr="00AD3A49">
        <w:trPr>
          <w:trHeight w:val="240"/>
        </w:trPr>
        <w:tc>
          <w:tcPr>
            <w:tcW w:w="7060" w:type="dxa"/>
            <w:gridSpan w:val="4"/>
            <w:tcBorders>
              <w:top w:val="nil"/>
              <w:left w:val="nil"/>
              <w:bottom w:val="nil"/>
              <w:right w:val="nil"/>
            </w:tcBorders>
            <w:shd w:val="clear" w:color="auto" w:fill="auto"/>
            <w:noWrap/>
            <w:vAlign w:val="center"/>
            <w:hideMark/>
          </w:tcPr>
          <w:p w:rsidR="00AD3A49" w:rsidRPr="00AD3A49" w:rsidRDefault="00AD3A49" w:rsidP="00AD3A49">
            <w:pPr>
              <w:spacing w:after="0" w:line="240" w:lineRule="auto"/>
              <w:rPr>
                <w:rFonts w:ascii="Times New Roman" w:eastAsia="Times New Roman" w:hAnsi="Times New Roman" w:cs="Times New Roman"/>
                <w:b/>
                <w:bCs/>
                <w:sz w:val="18"/>
                <w:szCs w:val="18"/>
                <w:lang w:eastAsia="fr-FR"/>
              </w:rPr>
            </w:pPr>
            <w:r w:rsidRPr="00AD3A49">
              <w:rPr>
                <w:rFonts w:ascii="Times New Roman" w:eastAsia="Times New Roman" w:hAnsi="Times New Roman" w:cs="Times New Roman"/>
                <w:b/>
                <w:bCs/>
                <w:sz w:val="18"/>
                <w:szCs w:val="18"/>
                <w:lang w:eastAsia="fr-FR"/>
              </w:rPr>
              <w:t>Informations sur le PEPP et l’épargnant</w:t>
            </w:r>
          </w:p>
        </w:tc>
        <w:tc>
          <w:tcPr>
            <w:tcW w:w="6820" w:type="dxa"/>
            <w:gridSpan w:val="4"/>
            <w:tcBorders>
              <w:top w:val="nil"/>
              <w:left w:val="nil"/>
              <w:bottom w:val="nil"/>
              <w:right w:val="nil"/>
            </w:tcBorders>
            <w:shd w:val="clear" w:color="auto" w:fill="auto"/>
            <w:noWrap/>
            <w:vAlign w:val="center"/>
            <w:hideMark/>
          </w:tcPr>
          <w:p w:rsidR="00AD3A49" w:rsidRPr="00AD3A49" w:rsidRDefault="00AD3A49" w:rsidP="00AD3A49">
            <w:pPr>
              <w:spacing w:after="0" w:line="240" w:lineRule="auto"/>
              <w:rPr>
                <w:rFonts w:ascii="Times New Roman" w:eastAsia="Times New Roman" w:hAnsi="Times New Roman" w:cs="Times New Roman"/>
                <w:b/>
                <w:bCs/>
                <w:sz w:val="18"/>
                <w:szCs w:val="18"/>
                <w:lang w:eastAsia="fr-FR"/>
              </w:rPr>
            </w:pPr>
          </w:p>
        </w:tc>
      </w:tr>
      <w:tr w:rsidR="00AD3A49" w:rsidRPr="00AD3A49" w:rsidTr="00AD3A49">
        <w:trPr>
          <w:trHeight w:val="240"/>
        </w:trPr>
        <w:tc>
          <w:tcPr>
            <w:tcW w:w="2500" w:type="dxa"/>
            <w:tcBorders>
              <w:top w:val="nil"/>
              <w:left w:val="nil"/>
              <w:bottom w:val="nil"/>
              <w:right w:val="nil"/>
            </w:tcBorders>
            <w:shd w:val="clear" w:color="auto" w:fill="auto"/>
            <w:noWrap/>
            <w:vAlign w:val="center"/>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1360" w:type="dxa"/>
            <w:tcBorders>
              <w:top w:val="nil"/>
              <w:left w:val="nil"/>
              <w:bottom w:val="nil"/>
              <w:right w:val="nil"/>
            </w:tcBorders>
            <w:shd w:val="clear" w:color="auto" w:fill="auto"/>
            <w:noWrap/>
            <w:vAlign w:val="center"/>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1600" w:type="dxa"/>
            <w:tcBorders>
              <w:top w:val="nil"/>
              <w:left w:val="nil"/>
              <w:bottom w:val="nil"/>
              <w:right w:val="nil"/>
            </w:tcBorders>
            <w:shd w:val="clear" w:color="auto" w:fill="auto"/>
            <w:noWrap/>
            <w:vAlign w:val="center"/>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1600" w:type="dxa"/>
            <w:tcBorders>
              <w:top w:val="nil"/>
              <w:left w:val="nil"/>
              <w:bottom w:val="nil"/>
              <w:right w:val="nil"/>
            </w:tcBorders>
            <w:shd w:val="clear" w:color="auto" w:fill="auto"/>
            <w:noWrap/>
            <w:vAlign w:val="center"/>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1600" w:type="dxa"/>
            <w:tcBorders>
              <w:top w:val="nil"/>
              <w:left w:val="nil"/>
              <w:bottom w:val="nil"/>
              <w:right w:val="nil"/>
            </w:tcBorders>
            <w:shd w:val="clear" w:color="auto" w:fill="auto"/>
            <w:noWrap/>
            <w:vAlign w:val="center"/>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1600" w:type="dxa"/>
            <w:tcBorders>
              <w:top w:val="nil"/>
              <w:left w:val="nil"/>
              <w:bottom w:val="nil"/>
              <w:right w:val="nil"/>
            </w:tcBorders>
            <w:shd w:val="clear" w:color="auto" w:fill="auto"/>
            <w:noWrap/>
            <w:vAlign w:val="center"/>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1600" w:type="dxa"/>
            <w:tcBorders>
              <w:top w:val="nil"/>
              <w:left w:val="nil"/>
              <w:bottom w:val="nil"/>
              <w:right w:val="nil"/>
            </w:tcBorders>
            <w:shd w:val="clear" w:color="auto" w:fill="auto"/>
            <w:noWrap/>
            <w:vAlign w:val="center"/>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2020" w:type="dxa"/>
            <w:tcBorders>
              <w:top w:val="nil"/>
              <w:left w:val="nil"/>
              <w:bottom w:val="nil"/>
              <w:right w:val="nil"/>
            </w:tcBorders>
            <w:shd w:val="clear" w:color="auto" w:fill="auto"/>
            <w:noWrap/>
            <w:vAlign w:val="center"/>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r>
      <w:tr w:rsidR="00AD3A49" w:rsidRPr="00AD3A49" w:rsidTr="00AD3A49">
        <w:trPr>
          <w:trHeight w:val="300"/>
        </w:trPr>
        <w:tc>
          <w:tcPr>
            <w:tcW w:w="250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Calibri" w:eastAsia="Times New Roman" w:hAnsi="Calibri" w:cs="Calibri"/>
                <w:b/>
                <w:bCs/>
                <w:color w:val="FF0000"/>
                <w:lang w:eastAsia="fr-FR"/>
              </w:rPr>
            </w:pPr>
            <w:r w:rsidRPr="00AD3A49">
              <w:rPr>
                <w:rFonts w:ascii="Calibri" w:eastAsia="Times New Roman" w:hAnsi="Calibri" w:cs="Calibri"/>
                <w:b/>
                <w:bCs/>
                <w:color w:val="FF0000"/>
                <w:lang w:eastAsia="fr-FR"/>
              </w:rPr>
              <w:t>PF.52.01.24.01</w:t>
            </w:r>
          </w:p>
        </w:tc>
        <w:tc>
          <w:tcPr>
            <w:tcW w:w="1360" w:type="dxa"/>
            <w:tcBorders>
              <w:top w:val="nil"/>
              <w:left w:val="nil"/>
              <w:bottom w:val="nil"/>
              <w:right w:val="nil"/>
            </w:tcBorders>
            <w:shd w:val="clear" w:color="auto" w:fill="auto"/>
            <w:vAlign w:val="center"/>
            <w:hideMark/>
          </w:tcPr>
          <w:p w:rsidR="00AD3A49" w:rsidRPr="00AD3A49" w:rsidRDefault="00AD3A49" w:rsidP="00AD3A49">
            <w:pPr>
              <w:spacing w:after="0" w:line="240" w:lineRule="auto"/>
              <w:rPr>
                <w:rFonts w:ascii="Calibri" w:eastAsia="Times New Roman" w:hAnsi="Calibri" w:cs="Calibri"/>
                <w:b/>
                <w:bCs/>
                <w:color w:val="FF0000"/>
                <w:lang w:eastAsia="fr-FR"/>
              </w:rPr>
            </w:pPr>
          </w:p>
        </w:tc>
        <w:tc>
          <w:tcPr>
            <w:tcW w:w="1600" w:type="dxa"/>
            <w:tcBorders>
              <w:top w:val="nil"/>
              <w:left w:val="nil"/>
              <w:bottom w:val="nil"/>
              <w:right w:val="nil"/>
            </w:tcBorders>
            <w:shd w:val="clear" w:color="auto" w:fill="auto"/>
            <w:noWrap/>
            <w:vAlign w:val="center"/>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1600" w:type="dxa"/>
            <w:tcBorders>
              <w:top w:val="nil"/>
              <w:left w:val="nil"/>
              <w:bottom w:val="nil"/>
              <w:right w:val="nil"/>
            </w:tcBorders>
            <w:shd w:val="clear" w:color="auto" w:fill="auto"/>
            <w:noWrap/>
            <w:vAlign w:val="center"/>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160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160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160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202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r>
      <w:tr w:rsidR="00AD3A49" w:rsidRPr="00AD3A49" w:rsidTr="00AD3A49">
        <w:trPr>
          <w:trHeight w:val="255"/>
        </w:trPr>
        <w:tc>
          <w:tcPr>
            <w:tcW w:w="3860" w:type="dxa"/>
            <w:gridSpan w:val="2"/>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Calibri" w:eastAsia="Times New Roman" w:hAnsi="Calibri" w:cs="Calibri"/>
                <w:b/>
                <w:bCs/>
                <w:color w:val="000000"/>
                <w:sz w:val="20"/>
                <w:szCs w:val="20"/>
                <w:lang w:eastAsia="fr-FR"/>
              </w:rPr>
            </w:pPr>
            <w:r w:rsidRPr="00AD3A49">
              <w:rPr>
                <w:rFonts w:ascii="Calibri" w:eastAsia="Times New Roman" w:hAnsi="Calibri" w:cs="Calibri"/>
                <w:b/>
                <w:bCs/>
                <w:color w:val="000000"/>
                <w:sz w:val="20"/>
                <w:szCs w:val="20"/>
                <w:lang w:eastAsia="fr-FR"/>
              </w:rPr>
              <w:t>Informations sur le PEPP et l’épargnant PEPP</w:t>
            </w:r>
          </w:p>
        </w:tc>
        <w:tc>
          <w:tcPr>
            <w:tcW w:w="160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Calibri" w:eastAsia="Times New Roman" w:hAnsi="Calibri" w:cs="Calibri"/>
                <w:b/>
                <w:bCs/>
                <w:color w:val="000000"/>
                <w:sz w:val="20"/>
                <w:szCs w:val="20"/>
                <w:lang w:eastAsia="fr-FR"/>
              </w:rPr>
            </w:pPr>
          </w:p>
        </w:tc>
        <w:tc>
          <w:tcPr>
            <w:tcW w:w="160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160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160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160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202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r>
      <w:tr w:rsidR="00AD3A49" w:rsidRPr="00AD3A49" w:rsidTr="00AD3A49">
        <w:trPr>
          <w:trHeight w:val="480"/>
        </w:trPr>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3A49" w:rsidRPr="00AD3A49" w:rsidRDefault="00AD3A49" w:rsidP="00AD3A49">
            <w:pPr>
              <w:spacing w:after="0" w:line="240" w:lineRule="auto"/>
              <w:rPr>
                <w:rFonts w:ascii="Times New Roman" w:eastAsia="Times New Roman" w:hAnsi="Times New Roman" w:cs="Times New Roman"/>
                <w:sz w:val="18"/>
                <w:szCs w:val="18"/>
                <w:lang w:eastAsia="fr-FR"/>
              </w:rPr>
            </w:pPr>
            <w:r w:rsidRPr="00AD3A49">
              <w:rPr>
                <w:rFonts w:ascii="Times New Roman" w:eastAsia="Times New Roman" w:hAnsi="Times New Roman" w:cs="Times New Roman"/>
                <w:sz w:val="18"/>
                <w:szCs w:val="18"/>
                <w:lang w:eastAsia="fr-FR"/>
              </w:rPr>
              <w:t>Numéro d’enregistrement du PEPP</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3A49" w:rsidRPr="00AD3A49" w:rsidRDefault="00AD3A49" w:rsidP="00AD3A49">
            <w:pPr>
              <w:spacing w:after="0" w:line="240" w:lineRule="auto"/>
              <w:jc w:val="center"/>
              <w:rPr>
                <w:rFonts w:ascii="Times New Roman" w:eastAsia="Times New Roman" w:hAnsi="Times New Roman" w:cs="Times New Roman"/>
                <w:b/>
                <w:bCs/>
                <w:sz w:val="18"/>
                <w:szCs w:val="18"/>
                <w:lang w:eastAsia="fr-FR"/>
              </w:rPr>
            </w:pPr>
            <w:r w:rsidRPr="00AD3A49">
              <w:rPr>
                <w:rFonts w:ascii="Times New Roman" w:eastAsia="Times New Roman" w:hAnsi="Times New Roman" w:cs="Times New Roman"/>
                <w:b/>
                <w:bCs/>
                <w:sz w:val="18"/>
                <w:szCs w:val="18"/>
                <w:lang w:eastAsia="fr-FR"/>
              </w:rPr>
              <w:t>Z0010</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3A49" w:rsidRPr="00AD3A49" w:rsidRDefault="00AD3A49" w:rsidP="00AD3A49">
            <w:pPr>
              <w:spacing w:after="0" w:line="240" w:lineRule="auto"/>
              <w:jc w:val="center"/>
              <w:rPr>
                <w:rFonts w:ascii="Times New Roman" w:eastAsia="Times New Roman" w:hAnsi="Times New Roman" w:cs="Times New Roman"/>
                <w:color w:val="0070C0"/>
                <w:sz w:val="18"/>
                <w:szCs w:val="18"/>
                <w:u w:val="single"/>
                <w:lang w:eastAsia="fr-FR"/>
              </w:rPr>
            </w:pPr>
            <w:r w:rsidRPr="00AD3A49">
              <w:rPr>
                <w:rFonts w:ascii="Times New Roman" w:eastAsia="Times New Roman" w:hAnsi="Times New Roman" w:cs="Times New Roman"/>
                <w:color w:val="0070C0"/>
                <w:sz w:val="18"/>
                <w:szCs w:val="18"/>
                <w:u w:val="single"/>
                <w:lang w:eastAsia="fr-FR"/>
              </w:rPr>
              <w:t>Z0010</w:t>
            </w:r>
          </w:p>
        </w:tc>
        <w:tc>
          <w:tcPr>
            <w:tcW w:w="160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jc w:val="center"/>
              <w:rPr>
                <w:rFonts w:ascii="Times New Roman" w:eastAsia="Times New Roman" w:hAnsi="Times New Roman" w:cs="Times New Roman"/>
                <w:color w:val="0070C0"/>
                <w:sz w:val="18"/>
                <w:szCs w:val="18"/>
                <w:u w:val="single"/>
                <w:lang w:eastAsia="fr-FR"/>
              </w:rPr>
            </w:pPr>
          </w:p>
        </w:tc>
        <w:tc>
          <w:tcPr>
            <w:tcW w:w="160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160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160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202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r>
      <w:tr w:rsidR="00AD3A49" w:rsidRPr="00AD3A49" w:rsidTr="00AD3A49">
        <w:trPr>
          <w:trHeight w:val="240"/>
        </w:trPr>
        <w:tc>
          <w:tcPr>
            <w:tcW w:w="2500" w:type="dxa"/>
            <w:tcBorders>
              <w:top w:val="nil"/>
              <w:left w:val="nil"/>
              <w:bottom w:val="nil"/>
              <w:right w:val="nil"/>
            </w:tcBorders>
            <w:shd w:val="clear" w:color="auto" w:fill="auto"/>
            <w:vAlign w:val="center"/>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1360" w:type="dxa"/>
            <w:tcBorders>
              <w:top w:val="nil"/>
              <w:left w:val="nil"/>
              <w:bottom w:val="nil"/>
              <w:right w:val="nil"/>
            </w:tcBorders>
            <w:shd w:val="clear" w:color="auto" w:fill="auto"/>
            <w:noWrap/>
            <w:vAlign w:val="center"/>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1600" w:type="dxa"/>
            <w:tcBorders>
              <w:top w:val="nil"/>
              <w:left w:val="nil"/>
              <w:bottom w:val="nil"/>
              <w:right w:val="nil"/>
            </w:tcBorders>
            <w:shd w:val="clear" w:color="auto" w:fill="auto"/>
            <w:vAlign w:val="center"/>
            <w:hideMark/>
          </w:tcPr>
          <w:p w:rsidR="00AD3A49" w:rsidRPr="00AD3A49" w:rsidRDefault="00AD3A49" w:rsidP="00AD3A49">
            <w:pPr>
              <w:spacing w:after="0" w:line="240" w:lineRule="auto"/>
              <w:jc w:val="center"/>
              <w:rPr>
                <w:rFonts w:ascii="Times New Roman" w:eastAsia="Times New Roman" w:hAnsi="Times New Roman" w:cs="Times New Roman"/>
                <w:sz w:val="20"/>
                <w:szCs w:val="20"/>
                <w:lang w:eastAsia="fr-FR"/>
              </w:rPr>
            </w:pPr>
          </w:p>
        </w:tc>
        <w:tc>
          <w:tcPr>
            <w:tcW w:w="160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jc w:val="center"/>
              <w:rPr>
                <w:rFonts w:ascii="Times New Roman" w:eastAsia="Times New Roman" w:hAnsi="Times New Roman" w:cs="Times New Roman"/>
                <w:sz w:val="20"/>
                <w:szCs w:val="20"/>
                <w:lang w:eastAsia="fr-FR"/>
              </w:rPr>
            </w:pPr>
          </w:p>
        </w:tc>
        <w:tc>
          <w:tcPr>
            <w:tcW w:w="160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160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160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202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r>
      <w:tr w:rsidR="00AD3A49" w:rsidRPr="00AD3A49" w:rsidTr="00AD3A49">
        <w:trPr>
          <w:trHeight w:val="240"/>
        </w:trPr>
        <w:tc>
          <w:tcPr>
            <w:tcW w:w="250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1360" w:type="dxa"/>
            <w:tcBorders>
              <w:top w:val="nil"/>
              <w:left w:val="nil"/>
              <w:bottom w:val="nil"/>
              <w:right w:val="nil"/>
            </w:tcBorders>
            <w:shd w:val="clear" w:color="auto" w:fill="auto"/>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3A49" w:rsidRPr="00AD3A49" w:rsidRDefault="00AD3A49" w:rsidP="00AD3A49">
            <w:pPr>
              <w:spacing w:after="0" w:line="240" w:lineRule="auto"/>
              <w:jc w:val="center"/>
              <w:rPr>
                <w:rFonts w:ascii="Times New Roman" w:eastAsia="Times New Roman" w:hAnsi="Times New Roman" w:cs="Times New Roman"/>
                <w:b/>
                <w:bCs/>
                <w:sz w:val="18"/>
                <w:szCs w:val="18"/>
                <w:lang w:eastAsia="fr-FR"/>
              </w:rPr>
            </w:pPr>
            <w:r w:rsidRPr="00AD3A49">
              <w:rPr>
                <w:rFonts w:ascii="Times New Roman" w:eastAsia="Times New Roman" w:hAnsi="Times New Roman" w:cs="Times New Roman"/>
                <w:b/>
                <w:bCs/>
                <w:sz w:val="18"/>
                <w:szCs w:val="18"/>
                <w:lang w:eastAsia="fr-FR"/>
              </w:rPr>
              <w:t>Coûts</w:t>
            </w:r>
          </w:p>
        </w:tc>
        <w:tc>
          <w:tcPr>
            <w:tcW w:w="202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jc w:val="center"/>
              <w:rPr>
                <w:rFonts w:ascii="Times New Roman" w:eastAsia="Times New Roman" w:hAnsi="Times New Roman" w:cs="Times New Roman"/>
                <w:b/>
                <w:bCs/>
                <w:sz w:val="18"/>
                <w:szCs w:val="18"/>
                <w:lang w:eastAsia="fr-FR"/>
              </w:rPr>
            </w:pPr>
          </w:p>
        </w:tc>
      </w:tr>
      <w:tr w:rsidR="00AD3A49" w:rsidRPr="00AD3A49" w:rsidTr="00AD3A49">
        <w:trPr>
          <w:trHeight w:val="240"/>
        </w:trPr>
        <w:tc>
          <w:tcPr>
            <w:tcW w:w="250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1360" w:type="dxa"/>
            <w:tcBorders>
              <w:top w:val="nil"/>
              <w:left w:val="nil"/>
              <w:bottom w:val="nil"/>
              <w:right w:val="nil"/>
            </w:tcBorders>
            <w:shd w:val="clear" w:color="auto" w:fill="auto"/>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AD3A49" w:rsidRPr="00AD3A49" w:rsidRDefault="00AD3A49" w:rsidP="00AD3A49">
            <w:pPr>
              <w:spacing w:after="0" w:line="240" w:lineRule="auto"/>
              <w:jc w:val="center"/>
              <w:rPr>
                <w:rFonts w:ascii="Times New Roman" w:eastAsia="Times New Roman" w:hAnsi="Times New Roman" w:cs="Times New Roman"/>
                <w:sz w:val="18"/>
                <w:szCs w:val="18"/>
                <w:lang w:eastAsia="fr-FR"/>
              </w:rPr>
            </w:pPr>
            <w:r w:rsidRPr="00AD3A49">
              <w:rPr>
                <w:rFonts w:ascii="Times New Roman" w:eastAsia="Times New Roman" w:hAnsi="Times New Roman" w:cs="Times New Roman"/>
                <w:sz w:val="18"/>
                <w:szCs w:val="18"/>
                <w:lang w:eastAsia="fr-FR"/>
              </w:rPr>
              <w:t>Coûts administratifs</w:t>
            </w:r>
          </w:p>
        </w:tc>
        <w:tc>
          <w:tcPr>
            <w:tcW w:w="3200" w:type="dxa"/>
            <w:gridSpan w:val="2"/>
            <w:tcBorders>
              <w:top w:val="nil"/>
              <w:left w:val="nil"/>
              <w:bottom w:val="single" w:sz="4" w:space="0" w:color="000000"/>
              <w:right w:val="nil"/>
            </w:tcBorders>
            <w:shd w:val="clear" w:color="auto" w:fill="auto"/>
            <w:vAlign w:val="center"/>
            <w:hideMark/>
          </w:tcPr>
          <w:p w:rsidR="00AD3A49" w:rsidRPr="00AD3A49" w:rsidRDefault="00AD3A49" w:rsidP="00AD3A49">
            <w:pPr>
              <w:spacing w:after="0" w:line="240" w:lineRule="auto"/>
              <w:jc w:val="center"/>
              <w:rPr>
                <w:rFonts w:ascii="Times New Roman" w:eastAsia="Times New Roman" w:hAnsi="Times New Roman" w:cs="Times New Roman"/>
                <w:sz w:val="18"/>
                <w:szCs w:val="18"/>
                <w:lang w:eastAsia="fr-FR"/>
              </w:rPr>
            </w:pPr>
            <w:r w:rsidRPr="00AD3A49">
              <w:rPr>
                <w:rFonts w:ascii="Times New Roman" w:eastAsia="Times New Roman" w:hAnsi="Times New Roman" w:cs="Times New Roman"/>
                <w:sz w:val="18"/>
                <w:szCs w:val="18"/>
                <w:lang w:eastAsia="fr-FR"/>
              </w:rPr>
              <w:t>Coûts de distribution</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AD3A49" w:rsidRPr="00AD3A49" w:rsidRDefault="00AD3A49" w:rsidP="00AD3A49">
            <w:pPr>
              <w:spacing w:after="0" w:line="240" w:lineRule="auto"/>
              <w:jc w:val="center"/>
              <w:rPr>
                <w:rFonts w:ascii="Times New Roman" w:eastAsia="Times New Roman" w:hAnsi="Times New Roman" w:cs="Times New Roman"/>
                <w:sz w:val="18"/>
                <w:szCs w:val="18"/>
                <w:lang w:eastAsia="fr-FR"/>
              </w:rPr>
            </w:pPr>
            <w:r w:rsidRPr="00AD3A49">
              <w:rPr>
                <w:rFonts w:ascii="Times New Roman" w:eastAsia="Times New Roman" w:hAnsi="Times New Roman" w:cs="Times New Roman"/>
                <w:sz w:val="18"/>
                <w:szCs w:val="18"/>
                <w:lang w:eastAsia="fr-FR"/>
              </w:rPr>
              <w:t>Coûts d’investissement</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AD3A49" w:rsidRPr="00AD3A49" w:rsidRDefault="00AD3A49" w:rsidP="00AD3A49">
            <w:pPr>
              <w:spacing w:after="0" w:line="240" w:lineRule="auto"/>
              <w:jc w:val="center"/>
              <w:rPr>
                <w:rFonts w:ascii="Times New Roman" w:eastAsia="Times New Roman" w:hAnsi="Times New Roman" w:cs="Times New Roman"/>
                <w:sz w:val="18"/>
                <w:szCs w:val="18"/>
                <w:lang w:eastAsia="fr-FR"/>
              </w:rPr>
            </w:pPr>
            <w:r w:rsidRPr="00AD3A49">
              <w:rPr>
                <w:rFonts w:ascii="Times New Roman" w:eastAsia="Times New Roman" w:hAnsi="Times New Roman" w:cs="Times New Roman"/>
                <w:sz w:val="18"/>
                <w:szCs w:val="18"/>
                <w:lang w:eastAsia="fr-FR"/>
              </w:rPr>
              <w:t xml:space="preserve">  Coût d’éventuelles garanties du capital</w:t>
            </w:r>
          </w:p>
        </w:tc>
        <w:tc>
          <w:tcPr>
            <w:tcW w:w="202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jc w:val="center"/>
              <w:rPr>
                <w:rFonts w:ascii="Times New Roman" w:eastAsia="Times New Roman" w:hAnsi="Times New Roman" w:cs="Times New Roman"/>
                <w:sz w:val="18"/>
                <w:szCs w:val="18"/>
                <w:lang w:eastAsia="fr-FR"/>
              </w:rPr>
            </w:pPr>
          </w:p>
        </w:tc>
      </w:tr>
      <w:tr w:rsidR="00AD3A49" w:rsidRPr="00AD3A49" w:rsidTr="00AD3A49">
        <w:trPr>
          <w:trHeight w:val="480"/>
        </w:trPr>
        <w:tc>
          <w:tcPr>
            <w:tcW w:w="250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1360" w:type="dxa"/>
            <w:tcBorders>
              <w:top w:val="nil"/>
              <w:left w:val="nil"/>
              <w:bottom w:val="nil"/>
              <w:right w:val="nil"/>
            </w:tcBorders>
            <w:shd w:val="clear" w:color="auto" w:fill="auto"/>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1600" w:type="dxa"/>
            <w:vMerge/>
            <w:tcBorders>
              <w:top w:val="nil"/>
              <w:left w:val="single" w:sz="4" w:space="0" w:color="auto"/>
              <w:bottom w:val="single" w:sz="4" w:space="0" w:color="auto"/>
              <w:right w:val="single" w:sz="4" w:space="0" w:color="auto"/>
            </w:tcBorders>
            <w:vAlign w:val="center"/>
            <w:hideMark/>
          </w:tcPr>
          <w:p w:rsidR="00AD3A49" w:rsidRPr="00AD3A49" w:rsidRDefault="00AD3A49" w:rsidP="00AD3A49">
            <w:pPr>
              <w:spacing w:after="0" w:line="240" w:lineRule="auto"/>
              <w:rPr>
                <w:rFonts w:ascii="Times New Roman" w:eastAsia="Times New Roman" w:hAnsi="Times New Roman" w:cs="Times New Roman"/>
                <w:sz w:val="18"/>
                <w:szCs w:val="18"/>
                <w:lang w:eastAsia="fr-FR"/>
              </w:rPr>
            </w:pPr>
          </w:p>
        </w:tc>
        <w:tc>
          <w:tcPr>
            <w:tcW w:w="160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AD3A49" w:rsidRPr="00AD3A49" w:rsidRDefault="00AD3A49" w:rsidP="00AD3A49">
            <w:pPr>
              <w:spacing w:after="0" w:line="240" w:lineRule="auto"/>
              <w:jc w:val="center"/>
              <w:rPr>
                <w:rFonts w:ascii="Times New Roman" w:eastAsia="Times New Roman" w:hAnsi="Times New Roman" w:cs="Times New Roman"/>
                <w:sz w:val="18"/>
                <w:szCs w:val="18"/>
                <w:lang w:eastAsia="fr-FR"/>
              </w:rPr>
            </w:pPr>
            <w:r w:rsidRPr="00AD3A49">
              <w:rPr>
                <w:rFonts w:ascii="Times New Roman" w:eastAsia="Times New Roman" w:hAnsi="Times New Roman" w:cs="Times New Roman"/>
                <w:sz w:val="18"/>
                <w:szCs w:val="18"/>
                <w:lang w:eastAsia="fr-FR"/>
              </w:rPr>
              <w:t xml:space="preserve">  Coût des services de </w:t>
            </w:r>
            <w:proofErr w:type="spellStart"/>
            <w:r w:rsidRPr="00AD3A49">
              <w:rPr>
                <w:rFonts w:ascii="Times New Roman" w:eastAsia="Times New Roman" w:hAnsi="Times New Roman" w:cs="Times New Roman"/>
                <w:sz w:val="18"/>
                <w:szCs w:val="18"/>
                <w:lang w:eastAsia="fr-FR"/>
              </w:rPr>
              <w:t>consei</w:t>
            </w:r>
            <w:proofErr w:type="spellEnd"/>
          </w:p>
        </w:tc>
        <w:tc>
          <w:tcPr>
            <w:tcW w:w="1600" w:type="dxa"/>
            <w:vMerge/>
            <w:tcBorders>
              <w:top w:val="nil"/>
              <w:left w:val="single" w:sz="4" w:space="0" w:color="auto"/>
              <w:bottom w:val="single" w:sz="4" w:space="0" w:color="auto"/>
              <w:right w:val="single" w:sz="4" w:space="0" w:color="auto"/>
            </w:tcBorders>
            <w:vAlign w:val="center"/>
            <w:hideMark/>
          </w:tcPr>
          <w:p w:rsidR="00AD3A49" w:rsidRPr="00AD3A49" w:rsidRDefault="00AD3A49" w:rsidP="00AD3A49">
            <w:pPr>
              <w:spacing w:after="0" w:line="240" w:lineRule="auto"/>
              <w:rPr>
                <w:rFonts w:ascii="Times New Roman" w:eastAsia="Times New Roman" w:hAnsi="Times New Roman" w:cs="Times New Roman"/>
                <w:sz w:val="18"/>
                <w:szCs w:val="18"/>
                <w:lang w:eastAsia="fr-FR"/>
              </w:rPr>
            </w:pPr>
          </w:p>
        </w:tc>
        <w:tc>
          <w:tcPr>
            <w:tcW w:w="1600" w:type="dxa"/>
            <w:vMerge/>
            <w:tcBorders>
              <w:top w:val="nil"/>
              <w:left w:val="single" w:sz="4" w:space="0" w:color="auto"/>
              <w:bottom w:val="single" w:sz="4" w:space="0" w:color="auto"/>
              <w:right w:val="single" w:sz="4" w:space="0" w:color="auto"/>
            </w:tcBorders>
            <w:vAlign w:val="center"/>
            <w:hideMark/>
          </w:tcPr>
          <w:p w:rsidR="00AD3A49" w:rsidRPr="00AD3A49" w:rsidRDefault="00AD3A49" w:rsidP="00AD3A49">
            <w:pPr>
              <w:spacing w:after="0" w:line="240" w:lineRule="auto"/>
              <w:rPr>
                <w:rFonts w:ascii="Times New Roman" w:eastAsia="Times New Roman" w:hAnsi="Times New Roman" w:cs="Times New Roman"/>
                <w:sz w:val="18"/>
                <w:szCs w:val="18"/>
                <w:lang w:eastAsia="fr-FR"/>
              </w:rPr>
            </w:pPr>
          </w:p>
        </w:tc>
        <w:tc>
          <w:tcPr>
            <w:tcW w:w="202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jc w:val="center"/>
              <w:rPr>
                <w:rFonts w:ascii="Times New Roman" w:eastAsia="Times New Roman" w:hAnsi="Times New Roman" w:cs="Times New Roman"/>
                <w:sz w:val="18"/>
                <w:szCs w:val="18"/>
                <w:lang w:eastAsia="fr-FR"/>
              </w:rPr>
            </w:pPr>
          </w:p>
        </w:tc>
      </w:tr>
      <w:tr w:rsidR="00AD3A49" w:rsidRPr="00AD3A49" w:rsidTr="00AD3A49">
        <w:trPr>
          <w:trHeight w:val="240"/>
        </w:trPr>
        <w:tc>
          <w:tcPr>
            <w:tcW w:w="250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1360" w:type="dxa"/>
            <w:tcBorders>
              <w:top w:val="nil"/>
              <w:left w:val="nil"/>
              <w:bottom w:val="nil"/>
              <w:right w:val="nil"/>
            </w:tcBorders>
            <w:shd w:val="clear" w:color="auto" w:fill="auto"/>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rsidR="00AD3A49" w:rsidRPr="00AD3A49" w:rsidRDefault="00AD3A49" w:rsidP="00AD3A49">
            <w:pPr>
              <w:spacing w:after="0" w:line="240" w:lineRule="auto"/>
              <w:jc w:val="center"/>
              <w:rPr>
                <w:rFonts w:ascii="Times New Roman" w:eastAsia="Times New Roman" w:hAnsi="Times New Roman" w:cs="Times New Roman"/>
                <w:b/>
                <w:bCs/>
                <w:sz w:val="18"/>
                <w:szCs w:val="18"/>
                <w:lang w:eastAsia="fr-FR"/>
              </w:rPr>
            </w:pPr>
            <w:r w:rsidRPr="00AD3A49">
              <w:rPr>
                <w:rFonts w:ascii="Times New Roman" w:eastAsia="Times New Roman" w:hAnsi="Times New Roman" w:cs="Times New Roman"/>
                <w:b/>
                <w:bCs/>
                <w:sz w:val="18"/>
                <w:szCs w:val="18"/>
                <w:lang w:eastAsia="fr-FR"/>
              </w:rPr>
              <w:t>C0020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3A49" w:rsidRPr="00AD3A49" w:rsidRDefault="00AD3A49" w:rsidP="00AD3A49">
            <w:pPr>
              <w:spacing w:after="0" w:line="240" w:lineRule="auto"/>
              <w:jc w:val="center"/>
              <w:rPr>
                <w:rFonts w:ascii="Times New Roman" w:eastAsia="Times New Roman" w:hAnsi="Times New Roman" w:cs="Times New Roman"/>
                <w:b/>
                <w:bCs/>
                <w:sz w:val="18"/>
                <w:szCs w:val="18"/>
                <w:lang w:eastAsia="fr-FR"/>
              </w:rPr>
            </w:pPr>
            <w:r w:rsidRPr="00AD3A49">
              <w:rPr>
                <w:rFonts w:ascii="Times New Roman" w:eastAsia="Times New Roman" w:hAnsi="Times New Roman" w:cs="Times New Roman"/>
                <w:b/>
                <w:bCs/>
                <w:sz w:val="18"/>
                <w:szCs w:val="18"/>
                <w:lang w:eastAsia="fr-FR"/>
              </w:rPr>
              <w:t>C0030</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rsidR="00AD3A49" w:rsidRPr="00AD3A49" w:rsidRDefault="00AD3A49" w:rsidP="00AD3A49">
            <w:pPr>
              <w:spacing w:after="0" w:line="240" w:lineRule="auto"/>
              <w:jc w:val="center"/>
              <w:rPr>
                <w:rFonts w:ascii="Times New Roman" w:eastAsia="Times New Roman" w:hAnsi="Times New Roman" w:cs="Times New Roman"/>
                <w:b/>
                <w:bCs/>
                <w:sz w:val="18"/>
                <w:szCs w:val="18"/>
                <w:lang w:eastAsia="fr-FR"/>
              </w:rPr>
            </w:pPr>
            <w:r w:rsidRPr="00AD3A49">
              <w:rPr>
                <w:rFonts w:ascii="Times New Roman" w:eastAsia="Times New Roman" w:hAnsi="Times New Roman" w:cs="Times New Roman"/>
                <w:b/>
                <w:bCs/>
                <w:sz w:val="18"/>
                <w:szCs w:val="18"/>
                <w:lang w:eastAsia="fr-FR"/>
              </w:rPr>
              <w:t>C0040</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rsidR="00AD3A49" w:rsidRPr="00AD3A49" w:rsidRDefault="00AD3A49" w:rsidP="00AD3A49">
            <w:pPr>
              <w:spacing w:after="0" w:line="240" w:lineRule="auto"/>
              <w:jc w:val="center"/>
              <w:rPr>
                <w:rFonts w:ascii="Times New Roman" w:eastAsia="Times New Roman" w:hAnsi="Times New Roman" w:cs="Times New Roman"/>
                <w:b/>
                <w:bCs/>
                <w:sz w:val="18"/>
                <w:szCs w:val="18"/>
                <w:lang w:eastAsia="fr-FR"/>
              </w:rPr>
            </w:pPr>
            <w:r w:rsidRPr="00AD3A49">
              <w:rPr>
                <w:rFonts w:ascii="Times New Roman" w:eastAsia="Times New Roman" w:hAnsi="Times New Roman" w:cs="Times New Roman"/>
                <w:b/>
                <w:bCs/>
                <w:sz w:val="18"/>
                <w:szCs w:val="18"/>
                <w:lang w:eastAsia="fr-FR"/>
              </w:rPr>
              <w:t>C0050</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rsidR="00AD3A49" w:rsidRPr="00AD3A49" w:rsidRDefault="00AD3A49" w:rsidP="00AD3A49">
            <w:pPr>
              <w:spacing w:after="0" w:line="240" w:lineRule="auto"/>
              <w:jc w:val="center"/>
              <w:rPr>
                <w:rFonts w:ascii="Times New Roman" w:eastAsia="Times New Roman" w:hAnsi="Times New Roman" w:cs="Times New Roman"/>
                <w:b/>
                <w:bCs/>
                <w:sz w:val="18"/>
                <w:szCs w:val="18"/>
                <w:lang w:eastAsia="fr-FR"/>
              </w:rPr>
            </w:pPr>
            <w:r w:rsidRPr="00AD3A49">
              <w:rPr>
                <w:rFonts w:ascii="Times New Roman" w:eastAsia="Times New Roman" w:hAnsi="Times New Roman" w:cs="Times New Roman"/>
                <w:b/>
                <w:bCs/>
                <w:sz w:val="18"/>
                <w:szCs w:val="18"/>
                <w:lang w:eastAsia="fr-FR"/>
              </w:rPr>
              <w:t>C0060</w:t>
            </w:r>
          </w:p>
        </w:tc>
        <w:tc>
          <w:tcPr>
            <w:tcW w:w="202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jc w:val="center"/>
              <w:rPr>
                <w:rFonts w:ascii="Times New Roman" w:eastAsia="Times New Roman" w:hAnsi="Times New Roman" w:cs="Times New Roman"/>
                <w:b/>
                <w:bCs/>
                <w:sz w:val="18"/>
                <w:szCs w:val="18"/>
                <w:lang w:eastAsia="fr-FR"/>
              </w:rPr>
            </w:pPr>
          </w:p>
        </w:tc>
      </w:tr>
      <w:tr w:rsidR="00AD3A49" w:rsidRPr="00AD3A49" w:rsidTr="00AD3A49">
        <w:trPr>
          <w:trHeight w:val="240"/>
        </w:trPr>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3A49" w:rsidRPr="00AD3A49" w:rsidRDefault="00AD3A49" w:rsidP="00AD3A49">
            <w:pPr>
              <w:spacing w:after="0" w:line="240" w:lineRule="auto"/>
              <w:rPr>
                <w:rFonts w:ascii="Times New Roman" w:eastAsia="Times New Roman" w:hAnsi="Times New Roman" w:cs="Times New Roman"/>
                <w:sz w:val="18"/>
                <w:szCs w:val="18"/>
                <w:lang w:eastAsia="fr-FR"/>
              </w:rPr>
            </w:pPr>
            <w:r w:rsidRPr="00AD3A49">
              <w:rPr>
                <w:rFonts w:ascii="Times New Roman" w:eastAsia="Times New Roman" w:hAnsi="Times New Roman" w:cs="Times New Roman"/>
                <w:sz w:val="18"/>
                <w:szCs w:val="18"/>
                <w:lang w:eastAsia="fr-FR"/>
              </w:rPr>
              <w:t>PEPP de base</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3A49" w:rsidRPr="00AD3A49" w:rsidRDefault="00AD3A49" w:rsidP="00AD3A49">
            <w:pPr>
              <w:spacing w:after="0" w:line="240" w:lineRule="auto"/>
              <w:jc w:val="center"/>
              <w:rPr>
                <w:rFonts w:ascii="Times New Roman" w:eastAsia="Times New Roman" w:hAnsi="Times New Roman" w:cs="Times New Roman"/>
                <w:b/>
                <w:bCs/>
                <w:sz w:val="18"/>
                <w:szCs w:val="18"/>
                <w:lang w:eastAsia="fr-FR"/>
              </w:rPr>
            </w:pPr>
            <w:r w:rsidRPr="00AD3A49">
              <w:rPr>
                <w:rFonts w:ascii="Times New Roman" w:eastAsia="Times New Roman" w:hAnsi="Times New Roman" w:cs="Times New Roman"/>
                <w:b/>
                <w:bCs/>
                <w:sz w:val="18"/>
                <w:szCs w:val="18"/>
                <w:lang w:eastAsia="fr-FR"/>
              </w:rPr>
              <w:t>R0010</w:t>
            </w:r>
          </w:p>
        </w:tc>
        <w:tc>
          <w:tcPr>
            <w:tcW w:w="1600" w:type="dxa"/>
            <w:tcBorders>
              <w:top w:val="nil"/>
              <w:left w:val="single" w:sz="4" w:space="0" w:color="auto"/>
              <w:bottom w:val="single" w:sz="4" w:space="0" w:color="auto"/>
              <w:right w:val="single" w:sz="4" w:space="0" w:color="auto"/>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18"/>
                <w:szCs w:val="18"/>
                <w:lang w:eastAsia="fr-FR"/>
              </w:rPr>
            </w:pPr>
            <w:r w:rsidRPr="00AD3A49">
              <w:rPr>
                <w:rFonts w:ascii="Times New Roman" w:eastAsia="Times New Roman" w:hAnsi="Times New Roman" w:cs="Times New Roman"/>
                <w:sz w:val="18"/>
                <w:szCs w:val="18"/>
                <w:lang w:eastAsia="fr-FR"/>
              </w:rPr>
              <w:t> </w:t>
            </w:r>
          </w:p>
        </w:tc>
        <w:tc>
          <w:tcPr>
            <w:tcW w:w="1600" w:type="dxa"/>
            <w:tcBorders>
              <w:top w:val="nil"/>
              <w:left w:val="single" w:sz="4" w:space="0" w:color="auto"/>
              <w:bottom w:val="single" w:sz="4" w:space="0" w:color="auto"/>
              <w:right w:val="single" w:sz="4" w:space="0" w:color="auto"/>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18"/>
                <w:szCs w:val="18"/>
                <w:lang w:eastAsia="fr-FR"/>
              </w:rPr>
            </w:pPr>
            <w:r w:rsidRPr="00AD3A49">
              <w:rPr>
                <w:rFonts w:ascii="Times New Roman" w:eastAsia="Times New Roman" w:hAnsi="Times New Roman" w:cs="Times New Roman"/>
                <w:sz w:val="18"/>
                <w:szCs w:val="18"/>
                <w:lang w:eastAsia="fr-FR"/>
              </w:rPr>
              <w:t> </w:t>
            </w:r>
          </w:p>
        </w:tc>
        <w:tc>
          <w:tcPr>
            <w:tcW w:w="1600" w:type="dxa"/>
            <w:tcBorders>
              <w:top w:val="nil"/>
              <w:left w:val="single" w:sz="4" w:space="0" w:color="auto"/>
              <w:bottom w:val="single" w:sz="4" w:space="0" w:color="auto"/>
              <w:right w:val="single" w:sz="4" w:space="0" w:color="auto"/>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18"/>
                <w:szCs w:val="18"/>
                <w:lang w:eastAsia="fr-FR"/>
              </w:rPr>
            </w:pPr>
            <w:r w:rsidRPr="00AD3A49">
              <w:rPr>
                <w:rFonts w:ascii="Times New Roman" w:eastAsia="Times New Roman" w:hAnsi="Times New Roman" w:cs="Times New Roman"/>
                <w:sz w:val="18"/>
                <w:szCs w:val="18"/>
                <w:lang w:eastAsia="fr-FR"/>
              </w:rPr>
              <w:t> </w:t>
            </w:r>
          </w:p>
        </w:tc>
        <w:tc>
          <w:tcPr>
            <w:tcW w:w="1600" w:type="dxa"/>
            <w:tcBorders>
              <w:top w:val="nil"/>
              <w:left w:val="single" w:sz="4" w:space="0" w:color="auto"/>
              <w:bottom w:val="single" w:sz="4" w:space="0" w:color="auto"/>
              <w:right w:val="single" w:sz="4" w:space="0" w:color="auto"/>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18"/>
                <w:szCs w:val="18"/>
                <w:lang w:eastAsia="fr-FR"/>
              </w:rPr>
            </w:pPr>
            <w:r w:rsidRPr="00AD3A49">
              <w:rPr>
                <w:rFonts w:ascii="Times New Roman" w:eastAsia="Times New Roman" w:hAnsi="Times New Roman" w:cs="Times New Roman"/>
                <w:sz w:val="18"/>
                <w:szCs w:val="18"/>
                <w:lang w:eastAsia="fr-FR"/>
              </w:rPr>
              <w:t> </w:t>
            </w:r>
          </w:p>
        </w:tc>
        <w:tc>
          <w:tcPr>
            <w:tcW w:w="1600" w:type="dxa"/>
            <w:tcBorders>
              <w:top w:val="nil"/>
              <w:left w:val="single" w:sz="4" w:space="0" w:color="auto"/>
              <w:bottom w:val="single" w:sz="4" w:space="0" w:color="auto"/>
              <w:right w:val="single" w:sz="4" w:space="0" w:color="auto"/>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18"/>
                <w:szCs w:val="18"/>
                <w:lang w:eastAsia="fr-FR"/>
              </w:rPr>
            </w:pPr>
            <w:r w:rsidRPr="00AD3A49">
              <w:rPr>
                <w:rFonts w:ascii="Times New Roman" w:eastAsia="Times New Roman" w:hAnsi="Times New Roman" w:cs="Times New Roman"/>
                <w:sz w:val="18"/>
                <w:szCs w:val="18"/>
                <w:lang w:eastAsia="fr-FR"/>
              </w:rPr>
              <w:t> </w:t>
            </w:r>
          </w:p>
        </w:tc>
        <w:tc>
          <w:tcPr>
            <w:tcW w:w="202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18"/>
                <w:szCs w:val="18"/>
                <w:lang w:eastAsia="fr-FR"/>
              </w:rPr>
            </w:pPr>
          </w:p>
        </w:tc>
      </w:tr>
      <w:tr w:rsidR="00AD3A49" w:rsidRPr="00AD3A49" w:rsidTr="00AD3A49">
        <w:trPr>
          <w:trHeight w:val="240"/>
        </w:trPr>
        <w:tc>
          <w:tcPr>
            <w:tcW w:w="2500" w:type="dxa"/>
            <w:tcBorders>
              <w:top w:val="nil"/>
              <w:left w:val="single" w:sz="4" w:space="0" w:color="auto"/>
              <w:bottom w:val="single" w:sz="4" w:space="0" w:color="auto"/>
              <w:right w:val="single" w:sz="4" w:space="0" w:color="auto"/>
            </w:tcBorders>
            <w:shd w:val="clear" w:color="auto" w:fill="auto"/>
            <w:vAlign w:val="center"/>
            <w:hideMark/>
          </w:tcPr>
          <w:p w:rsidR="00AD3A49" w:rsidRPr="00AD3A49" w:rsidRDefault="00AD3A49" w:rsidP="00AD3A49">
            <w:pPr>
              <w:spacing w:after="0" w:line="240" w:lineRule="auto"/>
              <w:rPr>
                <w:rFonts w:ascii="Times New Roman" w:eastAsia="Times New Roman" w:hAnsi="Times New Roman" w:cs="Times New Roman"/>
                <w:sz w:val="18"/>
                <w:szCs w:val="18"/>
                <w:lang w:eastAsia="fr-FR"/>
              </w:rPr>
            </w:pPr>
            <w:r w:rsidRPr="00AD3A49">
              <w:rPr>
                <w:rFonts w:ascii="Times New Roman" w:eastAsia="Times New Roman" w:hAnsi="Times New Roman" w:cs="Times New Roman"/>
                <w:sz w:val="18"/>
                <w:szCs w:val="18"/>
                <w:lang w:eastAsia="fr-FR"/>
              </w:rPr>
              <w:t>Autre options d’investissement</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AD3A49" w:rsidRPr="00AD3A49" w:rsidRDefault="00AD3A49" w:rsidP="00AD3A49">
            <w:pPr>
              <w:spacing w:after="0" w:line="240" w:lineRule="auto"/>
              <w:jc w:val="center"/>
              <w:rPr>
                <w:rFonts w:ascii="Times New Roman" w:eastAsia="Times New Roman" w:hAnsi="Times New Roman" w:cs="Times New Roman"/>
                <w:b/>
                <w:bCs/>
                <w:sz w:val="18"/>
                <w:szCs w:val="18"/>
                <w:lang w:eastAsia="fr-FR"/>
              </w:rPr>
            </w:pPr>
            <w:r w:rsidRPr="00AD3A49">
              <w:rPr>
                <w:rFonts w:ascii="Times New Roman" w:eastAsia="Times New Roman" w:hAnsi="Times New Roman" w:cs="Times New Roman"/>
                <w:b/>
                <w:bCs/>
                <w:sz w:val="18"/>
                <w:szCs w:val="18"/>
                <w:lang w:eastAsia="fr-FR"/>
              </w:rPr>
              <w:t>R0020</w:t>
            </w:r>
          </w:p>
        </w:tc>
        <w:tc>
          <w:tcPr>
            <w:tcW w:w="1600" w:type="dxa"/>
            <w:tcBorders>
              <w:top w:val="nil"/>
              <w:left w:val="single" w:sz="4" w:space="0" w:color="auto"/>
              <w:bottom w:val="single" w:sz="4" w:space="0" w:color="auto"/>
              <w:right w:val="single" w:sz="4" w:space="0" w:color="auto"/>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18"/>
                <w:szCs w:val="18"/>
                <w:lang w:eastAsia="fr-FR"/>
              </w:rPr>
            </w:pPr>
            <w:r w:rsidRPr="00AD3A49">
              <w:rPr>
                <w:rFonts w:ascii="Times New Roman" w:eastAsia="Times New Roman" w:hAnsi="Times New Roman" w:cs="Times New Roman"/>
                <w:sz w:val="18"/>
                <w:szCs w:val="18"/>
                <w:lang w:eastAsia="fr-FR"/>
              </w:rPr>
              <w:t> </w:t>
            </w:r>
          </w:p>
        </w:tc>
        <w:tc>
          <w:tcPr>
            <w:tcW w:w="1600" w:type="dxa"/>
            <w:tcBorders>
              <w:top w:val="nil"/>
              <w:left w:val="single" w:sz="4" w:space="0" w:color="auto"/>
              <w:bottom w:val="single" w:sz="4" w:space="0" w:color="auto"/>
              <w:right w:val="single" w:sz="4" w:space="0" w:color="auto"/>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18"/>
                <w:szCs w:val="18"/>
                <w:lang w:eastAsia="fr-FR"/>
              </w:rPr>
            </w:pPr>
            <w:r w:rsidRPr="00AD3A49">
              <w:rPr>
                <w:rFonts w:ascii="Times New Roman" w:eastAsia="Times New Roman" w:hAnsi="Times New Roman" w:cs="Times New Roman"/>
                <w:sz w:val="18"/>
                <w:szCs w:val="18"/>
                <w:lang w:eastAsia="fr-FR"/>
              </w:rPr>
              <w:t> </w:t>
            </w:r>
          </w:p>
        </w:tc>
        <w:tc>
          <w:tcPr>
            <w:tcW w:w="1600" w:type="dxa"/>
            <w:tcBorders>
              <w:top w:val="nil"/>
              <w:left w:val="single" w:sz="4" w:space="0" w:color="auto"/>
              <w:bottom w:val="single" w:sz="4" w:space="0" w:color="auto"/>
              <w:right w:val="single" w:sz="4" w:space="0" w:color="auto"/>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18"/>
                <w:szCs w:val="18"/>
                <w:lang w:eastAsia="fr-FR"/>
              </w:rPr>
            </w:pPr>
            <w:r w:rsidRPr="00AD3A49">
              <w:rPr>
                <w:rFonts w:ascii="Times New Roman" w:eastAsia="Times New Roman" w:hAnsi="Times New Roman" w:cs="Times New Roman"/>
                <w:sz w:val="18"/>
                <w:szCs w:val="18"/>
                <w:lang w:eastAsia="fr-FR"/>
              </w:rPr>
              <w:t> </w:t>
            </w:r>
          </w:p>
        </w:tc>
        <w:tc>
          <w:tcPr>
            <w:tcW w:w="1600" w:type="dxa"/>
            <w:tcBorders>
              <w:top w:val="nil"/>
              <w:left w:val="single" w:sz="4" w:space="0" w:color="auto"/>
              <w:bottom w:val="single" w:sz="4" w:space="0" w:color="auto"/>
              <w:right w:val="single" w:sz="4" w:space="0" w:color="auto"/>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18"/>
                <w:szCs w:val="18"/>
                <w:lang w:eastAsia="fr-FR"/>
              </w:rPr>
            </w:pPr>
            <w:r w:rsidRPr="00AD3A49">
              <w:rPr>
                <w:rFonts w:ascii="Times New Roman" w:eastAsia="Times New Roman" w:hAnsi="Times New Roman" w:cs="Times New Roman"/>
                <w:sz w:val="18"/>
                <w:szCs w:val="18"/>
                <w:lang w:eastAsia="fr-FR"/>
              </w:rPr>
              <w:t> </w:t>
            </w:r>
          </w:p>
        </w:tc>
        <w:tc>
          <w:tcPr>
            <w:tcW w:w="1600" w:type="dxa"/>
            <w:tcBorders>
              <w:top w:val="nil"/>
              <w:left w:val="single" w:sz="4" w:space="0" w:color="auto"/>
              <w:bottom w:val="single" w:sz="4" w:space="0" w:color="auto"/>
              <w:right w:val="single" w:sz="4" w:space="0" w:color="auto"/>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18"/>
                <w:szCs w:val="18"/>
                <w:lang w:eastAsia="fr-FR"/>
              </w:rPr>
            </w:pPr>
            <w:r w:rsidRPr="00AD3A49">
              <w:rPr>
                <w:rFonts w:ascii="Times New Roman" w:eastAsia="Times New Roman" w:hAnsi="Times New Roman" w:cs="Times New Roman"/>
                <w:sz w:val="18"/>
                <w:szCs w:val="18"/>
                <w:lang w:eastAsia="fr-FR"/>
              </w:rPr>
              <w:t> </w:t>
            </w:r>
          </w:p>
        </w:tc>
        <w:tc>
          <w:tcPr>
            <w:tcW w:w="202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18"/>
                <w:szCs w:val="18"/>
                <w:lang w:eastAsia="fr-FR"/>
              </w:rPr>
            </w:pPr>
          </w:p>
        </w:tc>
      </w:tr>
    </w:tbl>
    <w:p w:rsidR="009E5F35" w:rsidRDefault="009E5F35" w:rsidP="003564E8">
      <w:pPr>
        <w:spacing w:after="0" w:line="240" w:lineRule="auto"/>
        <w:rPr>
          <w:lang w:val="en-US"/>
        </w:rPr>
      </w:pPr>
    </w:p>
    <w:p w:rsidR="00AD3A49" w:rsidRDefault="00AD3A49" w:rsidP="003564E8">
      <w:pPr>
        <w:spacing w:after="0" w:line="240" w:lineRule="auto"/>
        <w:rPr>
          <w:lang w:val="en-US"/>
        </w:rPr>
      </w:pPr>
    </w:p>
    <w:tbl>
      <w:tblPr>
        <w:tblW w:w="5460" w:type="dxa"/>
        <w:tblCellMar>
          <w:left w:w="70" w:type="dxa"/>
          <w:right w:w="70" w:type="dxa"/>
        </w:tblCellMar>
        <w:tblLook w:val="04A0" w:firstRow="1" w:lastRow="0" w:firstColumn="1" w:lastColumn="0" w:noHBand="0" w:noVBand="1"/>
      </w:tblPr>
      <w:tblGrid>
        <w:gridCol w:w="2500"/>
        <w:gridCol w:w="1360"/>
        <w:gridCol w:w="1600"/>
      </w:tblGrid>
      <w:tr w:rsidR="00AD3A49" w:rsidRPr="00AD3A49" w:rsidTr="00AD3A49">
        <w:trPr>
          <w:trHeight w:val="300"/>
        </w:trPr>
        <w:tc>
          <w:tcPr>
            <w:tcW w:w="250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Calibri" w:eastAsia="Times New Roman" w:hAnsi="Calibri" w:cs="Calibri"/>
                <w:b/>
                <w:bCs/>
                <w:color w:val="FF0000"/>
                <w:lang w:eastAsia="fr-FR"/>
              </w:rPr>
            </w:pPr>
            <w:r w:rsidRPr="00AD3A49">
              <w:rPr>
                <w:rFonts w:ascii="Calibri" w:eastAsia="Times New Roman" w:hAnsi="Calibri" w:cs="Calibri"/>
                <w:b/>
                <w:bCs/>
                <w:color w:val="FF0000"/>
                <w:lang w:eastAsia="fr-FR"/>
              </w:rPr>
              <w:t>PF.52.01.24.02</w:t>
            </w:r>
          </w:p>
        </w:tc>
        <w:tc>
          <w:tcPr>
            <w:tcW w:w="1360" w:type="dxa"/>
            <w:tcBorders>
              <w:top w:val="nil"/>
              <w:left w:val="nil"/>
              <w:bottom w:val="nil"/>
              <w:right w:val="nil"/>
            </w:tcBorders>
            <w:shd w:val="clear" w:color="auto" w:fill="auto"/>
            <w:vAlign w:val="bottom"/>
            <w:hideMark/>
          </w:tcPr>
          <w:p w:rsidR="00AD3A49" w:rsidRPr="00AD3A49" w:rsidRDefault="00AD3A49" w:rsidP="00AD3A49">
            <w:pPr>
              <w:spacing w:after="0" w:line="240" w:lineRule="auto"/>
              <w:rPr>
                <w:rFonts w:ascii="Calibri" w:eastAsia="Times New Roman" w:hAnsi="Calibri" w:cs="Calibri"/>
                <w:b/>
                <w:bCs/>
                <w:color w:val="FF0000"/>
                <w:lang w:eastAsia="fr-FR"/>
              </w:rPr>
            </w:pPr>
          </w:p>
        </w:tc>
        <w:tc>
          <w:tcPr>
            <w:tcW w:w="160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r>
      <w:tr w:rsidR="00AD3A49" w:rsidRPr="00AD3A49" w:rsidTr="00AD3A49">
        <w:trPr>
          <w:trHeight w:val="255"/>
        </w:trPr>
        <w:tc>
          <w:tcPr>
            <w:tcW w:w="3860" w:type="dxa"/>
            <w:gridSpan w:val="2"/>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Calibri" w:eastAsia="Times New Roman" w:hAnsi="Calibri" w:cs="Calibri"/>
                <w:b/>
                <w:bCs/>
                <w:color w:val="000000"/>
                <w:sz w:val="20"/>
                <w:szCs w:val="20"/>
                <w:lang w:eastAsia="fr-FR"/>
              </w:rPr>
            </w:pPr>
            <w:r w:rsidRPr="00AD3A49">
              <w:rPr>
                <w:rFonts w:ascii="Calibri" w:eastAsia="Times New Roman" w:hAnsi="Calibri" w:cs="Calibri"/>
                <w:b/>
                <w:bCs/>
                <w:color w:val="000000"/>
                <w:sz w:val="20"/>
                <w:szCs w:val="20"/>
                <w:lang w:eastAsia="fr-FR"/>
              </w:rPr>
              <w:t>Informations sur le PEPP et l’épargnant PEPP</w:t>
            </w:r>
          </w:p>
        </w:tc>
        <w:tc>
          <w:tcPr>
            <w:tcW w:w="1600"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Calibri" w:eastAsia="Times New Roman" w:hAnsi="Calibri" w:cs="Calibri"/>
                <w:b/>
                <w:bCs/>
                <w:color w:val="000000"/>
                <w:sz w:val="20"/>
                <w:szCs w:val="20"/>
                <w:lang w:eastAsia="fr-FR"/>
              </w:rPr>
            </w:pPr>
          </w:p>
        </w:tc>
      </w:tr>
      <w:tr w:rsidR="00AD3A49" w:rsidRPr="00AD3A49" w:rsidTr="00AD3A49">
        <w:trPr>
          <w:trHeight w:val="480"/>
        </w:trPr>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3A49" w:rsidRPr="00AD3A49" w:rsidRDefault="00AD3A49" w:rsidP="00AD3A49">
            <w:pPr>
              <w:spacing w:after="0" w:line="240" w:lineRule="auto"/>
              <w:rPr>
                <w:rFonts w:ascii="Times New Roman" w:eastAsia="Times New Roman" w:hAnsi="Times New Roman" w:cs="Times New Roman"/>
                <w:sz w:val="18"/>
                <w:szCs w:val="18"/>
                <w:lang w:eastAsia="fr-FR"/>
              </w:rPr>
            </w:pPr>
            <w:r w:rsidRPr="00AD3A49">
              <w:rPr>
                <w:rFonts w:ascii="Times New Roman" w:eastAsia="Times New Roman" w:hAnsi="Times New Roman" w:cs="Times New Roman"/>
                <w:sz w:val="18"/>
                <w:szCs w:val="18"/>
                <w:lang w:eastAsia="fr-FR"/>
              </w:rPr>
              <w:t>Numéro d’enregistrement du PEPP</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3A49" w:rsidRPr="00AD3A49" w:rsidRDefault="00AD3A49" w:rsidP="00AD3A49">
            <w:pPr>
              <w:spacing w:after="0" w:line="240" w:lineRule="auto"/>
              <w:jc w:val="center"/>
              <w:rPr>
                <w:rFonts w:ascii="Times New Roman" w:eastAsia="Times New Roman" w:hAnsi="Times New Roman" w:cs="Times New Roman"/>
                <w:b/>
                <w:bCs/>
                <w:sz w:val="18"/>
                <w:szCs w:val="18"/>
                <w:lang w:eastAsia="fr-FR"/>
              </w:rPr>
            </w:pPr>
            <w:r w:rsidRPr="00AD3A49">
              <w:rPr>
                <w:rFonts w:ascii="Times New Roman" w:eastAsia="Times New Roman" w:hAnsi="Times New Roman" w:cs="Times New Roman"/>
                <w:b/>
                <w:bCs/>
                <w:sz w:val="18"/>
                <w:szCs w:val="18"/>
                <w:lang w:eastAsia="fr-FR"/>
              </w:rPr>
              <w:t>Z0010</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3A49" w:rsidRPr="00AD3A49" w:rsidRDefault="00AD3A49" w:rsidP="00AD3A49">
            <w:pPr>
              <w:spacing w:after="0" w:line="240" w:lineRule="auto"/>
              <w:jc w:val="center"/>
              <w:rPr>
                <w:rFonts w:ascii="Times New Roman" w:eastAsia="Times New Roman" w:hAnsi="Times New Roman" w:cs="Times New Roman"/>
                <w:color w:val="0070C0"/>
                <w:sz w:val="18"/>
                <w:szCs w:val="18"/>
                <w:u w:val="single"/>
                <w:lang w:eastAsia="fr-FR"/>
              </w:rPr>
            </w:pPr>
            <w:r w:rsidRPr="00AD3A49">
              <w:rPr>
                <w:rFonts w:ascii="Times New Roman" w:eastAsia="Times New Roman" w:hAnsi="Times New Roman" w:cs="Times New Roman"/>
                <w:color w:val="0070C0"/>
                <w:sz w:val="18"/>
                <w:szCs w:val="18"/>
                <w:u w:val="single"/>
                <w:lang w:eastAsia="fr-FR"/>
              </w:rPr>
              <w:t>Z0010</w:t>
            </w:r>
          </w:p>
        </w:tc>
      </w:tr>
      <w:tr w:rsidR="00AD3A49" w:rsidRPr="00AD3A49" w:rsidTr="00AD3A49">
        <w:trPr>
          <w:trHeight w:val="240"/>
        </w:trPr>
        <w:tc>
          <w:tcPr>
            <w:tcW w:w="2500" w:type="dxa"/>
            <w:tcBorders>
              <w:top w:val="nil"/>
              <w:left w:val="single" w:sz="4" w:space="0" w:color="auto"/>
              <w:bottom w:val="single" w:sz="4" w:space="0" w:color="auto"/>
              <w:right w:val="single" w:sz="4" w:space="0" w:color="auto"/>
            </w:tcBorders>
            <w:shd w:val="clear" w:color="auto" w:fill="auto"/>
            <w:vAlign w:val="center"/>
            <w:hideMark/>
          </w:tcPr>
          <w:p w:rsidR="00AD3A49" w:rsidRPr="00AD3A49" w:rsidRDefault="00AD3A49" w:rsidP="00AD3A49">
            <w:pPr>
              <w:spacing w:after="0" w:line="240" w:lineRule="auto"/>
              <w:rPr>
                <w:rFonts w:ascii="Times New Roman" w:eastAsia="Times New Roman" w:hAnsi="Times New Roman" w:cs="Times New Roman"/>
                <w:sz w:val="18"/>
                <w:szCs w:val="18"/>
                <w:lang w:eastAsia="fr-FR"/>
              </w:rPr>
            </w:pPr>
            <w:r w:rsidRPr="00AD3A49">
              <w:rPr>
                <w:rFonts w:ascii="Times New Roman" w:eastAsia="Times New Roman" w:hAnsi="Times New Roman" w:cs="Times New Roman"/>
                <w:sz w:val="18"/>
                <w:szCs w:val="18"/>
                <w:lang w:eastAsia="fr-FR"/>
              </w:rPr>
              <w:t>Pays</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AD3A49" w:rsidRPr="00AD3A49" w:rsidRDefault="00AD3A49" w:rsidP="00AD3A49">
            <w:pPr>
              <w:spacing w:after="0" w:line="240" w:lineRule="auto"/>
              <w:jc w:val="center"/>
              <w:rPr>
                <w:rFonts w:ascii="Times New Roman" w:eastAsia="Times New Roman" w:hAnsi="Times New Roman" w:cs="Times New Roman"/>
                <w:b/>
                <w:bCs/>
                <w:sz w:val="18"/>
                <w:szCs w:val="18"/>
                <w:lang w:eastAsia="fr-FR"/>
              </w:rPr>
            </w:pPr>
            <w:r w:rsidRPr="00AD3A49">
              <w:rPr>
                <w:rFonts w:ascii="Times New Roman" w:eastAsia="Times New Roman" w:hAnsi="Times New Roman" w:cs="Times New Roman"/>
                <w:b/>
                <w:bCs/>
                <w:sz w:val="18"/>
                <w:szCs w:val="18"/>
                <w:lang w:eastAsia="fr-FR"/>
              </w:rPr>
              <w:t>Z0020</w:t>
            </w: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AD3A49" w:rsidRPr="00AD3A49" w:rsidRDefault="00AD3A49" w:rsidP="00AD3A49">
            <w:pPr>
              <w:spacing w:after="0" w:line="240" w:lineRule="auto"/>
              <w:jc w:val="center"/>
              <w:rPr>
                <w:rFonts w:ascii="Times New Roman" w:eastAsia="Times New Roman" w:hAnsi="Times New Roman" w:cs="Times New Roman"/>
                <w:color w:val="0070C0"/>
                <w:sz w:val="18"/>
                <w:szCs w:val="18"/>
                <w:u w:val="single"/>
                <w:lang w:eastAsia="fr-FR"/>
              </w:rPr>
            </w:pPr>
            <w:r w:rsidRPr="00AD3A49">
              <w:rPr>
                <w:rFonts w:ascii="Times New Roman" w:eastAsia="Times New Roman" w:hAnsi="Times New Roman" w:cs="Times New Roman"/>
                <w:color w:val="0070C0"/>
                <w:sz w:val="18"/>
                <w:szCs w:val="18"/>
                <w:u w:val="single"/>
                <w:lang w:eastAsia="fr-FR"/>
              </w:rPr>
              <w:t>Z0020</w:t>
            </w:r>
          </w:p>
        </w:tc>
      </w:tr>
    </w:tbl>
    <w:p w:rsidR="00AD3A49" w:rsidRDefault="00AD3A49" w:rsidP="003564E8">
      <w:pPr>
        <w:spacing w:after="0" w:line="240" w:lineRule="auto"/>
        <w:rPr>
          <w:lang w:val="en-US"/>
        </w:rPr>
      </w:pPr>
    </w:p>
    <w:tbl>
      <w:tblPr>
        <w:tblW w:w="15026" w:type="dxa"/>
        <w:tblLayout w:type="fixed"/>
        <w:tblCellMar>
          <w:left w:w="70" w:type="dxa"/>
          <w:right w:w="70" w:type="dxa"/>
        </w:tblCellMar>
        <w:tblLook w:val="04A0" w:firstRow="1" w:lastRow="0" w:firstColumn="1" w:lastColumn="0" w:noHBand="0" w:noVBand="1"/>
      </w:tblPr>
      <w:tblGrid>
        <w:gridCol w:w="2977"/>
        <w:gridCol w:w="709"/>
        <w:gridCol w:w="1318"/>
        <w:gridCol w:w="1107"/>
        <w:gridCol w:w="1568"/>
        <w:gridCol w:w="1110"/>
        <w:gridCol w:w="850"/>
        <w:gridCol w:w="1701"/>
        <w:gridCol w:w="1985"/>
        <w:gridCol w:w="1701"/>
        <w:tblGridChange w:id="1">
          <w:tblGrid>
            <w:gridCol w:w="2977"/>
            <w:gridCol w:w="709"/>
            <w:gridCol w:w="1318"/>
            <w:gridCol w:w="1107"/>
            <w:gridCol w:w="1568"/>
            <w:gridCol w:w="1110"/>
            <w:gridCol w:w="850"/>
            <w:gridCol w:w="1701"/>
            <w:gridCol w:w="1985"/>
            <w:gridCol w:w="1701"/>
          </w:tblGrid>
        </w:tblGridChange>
      </w:tblGrid>
      <w:tr w:rsidR="00153B0F" w:rsidRPr="00AD3A49" w:rsidTr="003564E8">
        <w:trPr>
          <w:trHeight w:val="300"/>
        </w:trPr>
        <w:tc>
          <w:tcPr>
            <w:tcW w:w="2977"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24"/>
                <w:szCs w:val="24"/>
                <w:lang w:eastAsia="fr-FR"/>
              </w:rPr>
            </w:pPr>
          </w:p>
        </w:tc>
        <w:tc>
          <w:tcPr>
            <w:tcW w:w="709"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13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Nombre d’épargnants PEPP</w:t>
            </w:r>
          </w:p>
        </w:tc>
        <w:tc>
          <w:tcPr>
            <w:tcW w:w="2675" w:type="dxa"/>
            <w:gridSpan w:val="2"/>
            <w:tcBorders>
              <w:top w:val="single" w:sz="4" w:space="0" w:color="auto"/>
              <w:left w:val="single" w:sz="4" w:space="0" w:color="auto"/>
              <w:bottom w:val="single" w:sz="4" w:space="0" w:color="auto"/>
              <w:right w:val="nil"/>
            </w:tcBorders>
            <w:shd w:val="clear" w:color="auto" w:fill="auto"/>
            <w:noWrap/>
            <w:vAlign w:val="center"/>
            <w:hideMark/>
          </w:tcPr>
          <w:p w:rsidR="00AD3A49" w:rsidRPr="00AD3A49" w:rsidRDefault="00AD3A49" w:rsidP="00AD3A49">
            <w:pPr>
              <w:spacing w:after="0" w:line="240" w:lineRule="auto"/>
              <w:rPr>
                <w:rFonts w:ascii="Calibri" w:eastAsia="Times New Roman" w:hAnsi="Calibri" w:cs="Calibri"/>
                <w:b/>
                <w:bCs/>
                <w:color w:val="000000"/>
                <w:lang w:eastAsia="fr-FR"/>
              </w:rPr>
            </w:pPr>
            <w:r w:rsidRPr="00AD3A49">
              <w:rPr>
                <w:rFonts w:ascii="Calibri" w:eastAsia="Times New Roman" w:hAnsi="Calibri" w:cs="Calibri"/>
                <w:b/>
                <w:bCs/>
                <w:color w:val="000000"/>
                <w:lang w:eastAsia="fr-FR"/>
              </w:rPr>
              <w:t xml:space="preserve">  Flux d’épargne et flux financiers</w:t>
            </w:r>
          </w:p>
        </w:tc>
        <w:tc>
          <w:tcPr>
            <w:tcW w:w="1110" w:type="dxa"/>
            <w:tcBorders>
              <w:top w:val="single" w:sz="4" w:space="0" w:color="auto"/>
              <w:left w:val="nil"/>
              <w:bottom w:val="single" w:sz="4" w:space="0" w:color="auto"/>
              <w:right w:val="nil"/>
            </w:tcBorders>
            <w:shd w:val="clear" w:color="auto" w:fill="auto"/>
            <w:noWrap/>
            <w:vAlign w:val="center"/>
            <w:hideMark/>
          </w:tcPr>
          <w:p w:rsidR="00AD3A49" w:rsidRPr="00AD3A49" w:rsidRDefault="00AD3A49" w:rsidP="00AD3A49">
            <w:pPr>
              <w:spacing w:after="0" w:line="240" w:lineRule="auto"/>
              <w:rPr>
                <w:rFonts w:ascii="Calibri" w:eastAsia="Times New Roman" w:hAnsi="Calibri" w:cs="Calibri"/>
                <w:b/>
                <w:bCs/>
                <w:color w:val="000000"/>
                <w:lang w:eastAsia="fr-FR"/>
              </w:rPr>
            </w:pPr>
            <w:r w:rsidRPr="00AD3A49">
              <w:rPr>
                <w:rFonts w:ascii="Calibri" w:eastAsia="Times New Roman" w:hAnsi="Calibri" w:cs="Calibri"/>
                <w:b/>
                <w:bCs/>
                <w:color w:val="000000"/>
                <w:lang w:eastAsia="fr-FR"/>
              </w:rPr>
              <w:t> </w:t>
            </w:r>
          </w:p>
        </w:tc>
        <w:tc>
          <w:tcPr>
            <w:tcW w:w="850" w:type="dxa"/>
            <w:tcBorders>
              <w:top w:val="single" w:sz="4" w:space="0" w:color="auto"/>
              <w:left w:val="nil"/>
              <w:bottom w:val="single" w:sz="4" w:space="0" w:color="auto"/>
              <w:right w:val="nil"/>
            </w:tcBorders>
            <w:shd w:val="clear" w:color="auto" w:fill="auto"/>
            <w:noWrap/>
            <w:vAlign w:val="center"/>
            <w:hideMark/>
          </w:tcPr>
          <w:p w:rsidR="00AD3A49" w:rsidRPr="00AD3A49" w:rsidRDefault="00AD3A49" w:rsidP="00AD3A49">
            <w:pPr>
              <w:spacing w:after="0" w:line="240" w:lineRule="auto"/>
              <w:rPr>
                <w:rFonts w:ascii="Calibri" w:eastAsia="Times New Roman" w:hAnsi="Calibri" w:cs="Calibri"/>
                <w:b/>
                <w:bCs/>
                <w:color w:val="000000"/>
                <w:lang w:eastAsia="fr-FR"/>
              </w:rPr>
            </w:pPr>
            <w:r w:rsidRPr="00AD3A49">
              <w:rPr>
                <w:rFonts w:ascii="Calibri" w:eastAsia="Times New Roman" w:hAnsi="Calibri" w:cs="Calibri"/>
                <w:b/>
                <w:bCs/>
                <w:color w:val="000000"/>
                <w:lang w:eastAsia="fr-FR"/>
              </w:rPr>
              <w:t> </w:t>
            </w:r>
          </w:p>
        </w:tc>
        <w:tc>
          <w:tcPr>
            <w:tcW w:w="1701" w:type="dxa"/>
            <w:tcBorders>
              <w:top w:val="single" w:sz="4" w:space="0" w:color="auto"/>
              <w:left w:val="nil"/>
              <w:bottom w:val="single" w:sz="4" w:space="0" w:color="auto"/>
              <w:right w:val="nil"/>
            </w:tcBorders>
            <w:shd w:val="clear" w:color="auto" w:fill="auto"/>
            <w:noWrap/>
            <w:vAlign w:val="center"/>
            <w:hideMark/>
          </w:tcPr>
          <w:p w:rsidR="00AD3A49" w:rsidRPr="00AD3A49" w:rsidRDefault="00AD3A49" w:rsidP="00AD3A49">
            <w:pPr>
              <w:spacing w:after="0" w:line="240" w:lineRule="auto"/>
              <w:rPr>
                <w:rFonts w:ascii="Calibri" w:eastAsia="Times New Roman" w:hAnsi="Calibri" w:cs="Calibri"/>
                <w:b/>
                <w:bCs/>
                <w:color w:val="000000"/>
                <w:lang w:eastAsia="fr-FR"/>
              </w:rPr>
            </w:pPr>
            <w:r w:rsidRPr="00AD3A49">
              <w:rPr>
                <w:rFonts w:ascii="Calibri" w:eastAsia="Times New Roman" w:hAnsi="Calibri" w:cs="Calibri"/>
                <w:b/>
                <w:bCs/>
                <w:color w:val="000000"/>
                <w:lang w:eastAsia="fr-FR"/>
              </w:rPr>
              <w:t> </w:t>
            </w:r>
          </w:p>
        </w:tc>
        <w:tc>
          <w:tcPr>
            <w:tcW w:w="1985" w:type="dxa"/>
            <w:tcBorders>
              <w:top w:val="single" w:sz="4" w:space="0" w:color="auto"/>
              <w:left w:val="nil"/>
              <w:bottom w:val="single" w:sz="4" w:space="0" w:color="auto"/>
              <w:right w:val="nil"/>
            </w:tcBorders>
            <w:shd w:val="clear" w:color="auto" w:fill="auto"/>
            <w:noWrap/>
            <w:vAlign w:val="center"/>
            <w:hideMark/>
          </w:tcPr>
          <w:p w:rsidR="00AD3A49" w:rsidRPr="00AD3A49" w:rsidRDefault="00AD3A49" w:rsidP="00AD3A49">
            <w:pPr>
              <w:spacing w:after="0" w:line="240" w:lineRule="auto"/>
              <w:rPr>
                <w:rFonts w:ascii="Calibri" w:eastAsia="Times New Roman" w:hAnsi="Calibri" w:cs="Calibri"/>
                <w:b/>
                <w:bCs/>
                <w:color w:val="000000"/>
                <w:lang w:eastAsia="fr-FR"/>
              </w:rPr>
            </w:pPr>
            <w:r w:rsidRPr="00AD3A49">
              <w:rPr>
                <w:rFonts w:ascii="Calibri" w:eastAsia="Times New Roman" w:hAnsi="Calibri" w:cs="Calibri"/>
                <w:b/>
                <w:bCs/>
                <w:color w:val="000000"/>
                <w:lang w:eastAsia="fr-FR"/>
              </w:rPr>
              <w:t> </w:t>
            </w:r>
          </w:p>
        </w:tc>
        <w:tc>
          <w:tcPr>
            <w:tcW w:w="1701" w:type="dxa"/>
            <w:tcBorders>
              <w:top w:val="single" w:sz="4" w:space="0" w:color="auto"/>
              <w:left w:val="nil"/>
              <w:bottom w:val="single" w:sz="4" w:space="0" w:color="auto"/>
              <w:right w:val="nil"/>
            </w:tcBorders>
            <w:shd w:val="clear" w:color="auto" w:fill="auto"/>
            <w:noWrap/>
            <w:vAlign w:val="center"/>
            <w:hideMark/>
          </w:tcPr>
          <w:p w:rsidR="00AD3A49" w:rsidRPr="00AD3A49" w:rsidRDefault="00AD3A49" w:rsidP="00AD3A49">
            <w:pPr>
              <w:spacing w:after="0" w:line="240" w:lineRule="auto"/>
              <w:rPr>
                <w:rFonts w:ascii="Calibri" w:eastAsia="Times New Roman" w:hAnsi="Calibri" w:cs="Calibri"/>
                <w:b/>
                <w:bCs/>
                <w:color w:val="000000"/>
                <w:lang w:eastAsia="fr-FR"/>
              </w:rPr>
            </w:pPr>
            <w:r w:rsidRPr="00AD3A49">
              <w:rPr>
                <w:rFonts w:ascii="Calibri" w:eastAsia="Times New Roman" w:hAnsi="Calibri" w:cs="Calibri"/>
                <w:b/>
                <w:bCs/>
                <w:color w:val="000000"/>
                <w:lang w:eastAsia="fr-FR"/>
              </w:rPr>
              <w:t> </w:t>
            </w:r>
          </w:p>
        </w:tc>
      </w:tr>
      <w:tr w:rsidR="00153B0F" w:rsidRPr="00AD3A49" w:rsidTr="003564E8">
        <w:trPr>
          <w:trHeight w:val="300"/>
        </w:trPr>
        <w:tc>
          <w:tcPr>
            <w:tcW w:w="2977"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Calibri" w:eastAsia="Times New Roman" w:hAnsi="Calibri" w:cs="Calibri"/>
                <w:b/>
                <w:bCs/>
                <w:color w:val="000000"/>
                <w:lang w:eastAsia="fr-FR"/>
              </w:rPr>
            </w:pPr>
          </w:p>
        </w:tc>
        <w:tc>
          <w:tcPr>
            <w:tcW w:w="709"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1318" w:type="dxa"/>
            <w:vMerge/>
            <w:tcBorders>
              <w:top w:val="single" w:sz="4" w:space="0" w:color="auto"/>
              <w:left w:val="single" w:sz="4" w:space="0" w:color="auto"/>
              <w:bottom w:val="single" w:sz="4" w:space="0" w:color="auto"/>
              <w:right w:val="single" w:sz="4" w:space="0" w:color="auto"/>
            </w:tcBorders>
            <w:vAlign w:val="center"/>
            <w:hideMark/>
          </w:tcPr>
          <w:p w:rsidR="00AD3A49" w:rsidRPr="00AD3A49" w:rsidRDefault="00AD3A49" w:rsidP="00AD3A49">
            <w:pPr>
              <w:spacing w:after="0" w:line="240" w:lineRule="auto"/>
              <w:rPr>
                <w:rFonts w:ascii="Calibri" w:eastAsia="Times New Roman" w:hAnsi="Calibri" w:cs="Calibri"/>
                <w:lang w:eastAsia="fr-FR"/>
              </w:rPr>
            </w:pPr>
          </w:p>
        </w:tc>
        <w:tc>
          <w:tcPr>
            <w:tcW w:w="110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Total des cotisations brutes reçues</w:t>
            </w:r>
          </w:p>
        </w:tc>
        <w:tc>
          <w:tcPr>
            <w:tcW w:w="1568" w:type="dxa"/>
            <w:vMerge w:val="restart"/>
            <w:tcBorders>
              <w:top w:val="nil"/>
              <w:left w:val="single" w:sz="4" w:space="0" w:color="auto"/>
              <w:bottom w:val="single" w:sz="4" w:space="0" w:color="000000"/>
              <w:right w:val="single" w:sz="4" w:space="0" w:color="auto"/>
            </w:tcBorders>
            <w:shd w:val="clear" w:color="auto" w:fill="auto"/>
            <w:vAlign w:val="center"/>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Rendement brut total des investissements</w:t>
            </w:r>
          </w:p>
        </w:tc>
        <w:tc>
          <w:tcPr>
            <w:tcW w:w="1960" w:type="dxa"/>
            <w:gridSpan w:val="2"/>
            <w:tcBorders>
              <w:top w:val="single" w:sz="4" w:space="0" w:color="auto"/>
              <w:left w:val="single" w:sz="4" w:space="0" w:color="auto"/>
              <w:bottom w:val="nil"/>
              <w:right w:val="nil"/>
            </w:tcBorders>
            <w:shd w:val="clear" w:color="auto" w:fill="auto"/>
            <w:noWrap/>
            <w:vAlign w:val="center"/>
            <w:hideMark/>
          </w:tcPr>
          <w:p w:rsidR="00AD3A49" w:rsidRPr="00AD3A49" w:rsidRDefault="00AD3A49" w:rsidP="00AD3A49">
            <w:pPr>
              <w:spacing w:after="0" w:line="240" w:lineRule="auto"/>
              <w:rPr>
                <w:rFonts w:ascii="Calibri" w:eastAsia="Times New Roman" w:hAnsi="Calibri" w:cs="Calibri"/>
                <w:color w:val="000000"/>
                <w:lang w:eastAsia="fr-FR"/>
              </w:rPr>
            </w:pPr>
            <w:r w:rsidRPr="00AD3A49">
              <w:rPr>
                <w:rFonts w:ascii="Calibri" w:eastAsia="Times New Roman" w:hAnsi="Calibri" w:cs="Calibri"/>
                <w:color w:val="000000"/>
                <w:lang w:eastAsia="fr-FR"/>
              </w:rPr>
              <w:t>Total des prestations</w:t>
            </w:r>
          </w:p>
        </w:tc>
        <w:tc>
          <w:tcPr>
            <w:tcW w:w="1701" w:type="dxa"/>
            <w:tcBorders>
              <w:top w:val="single" w:sz="4" w:space="0" w:color="auto"/>
              <w:left w:val="nil"/>
              <w:bottom w:val="nil"/>
              <w:right w:val="nil"/>
            </w:tcBorders>
            <w:shd w:val="clear" w:color="auto" w:fill="auto"/>
            <w:noWrap/>
            <w:vAlign w:val="center"/>
            <w:hideMark/>
          </w:tcPr>
          <w:p w:rsidR="00AD3A49" w:rsidRPr="00AD3A49" w:rsidRDefault="00AD3A49" w:rsidP="00AD3A49">
            <w:pPr>
              <w:spacing w:after="0" w:line="240" w:lineRule="auto"/>
              <w:rPr>
                <w:rFonts w:ascii="Calibri" w:eastAsia="Times New Roman" w:hAnsi="Calibri" w:cs="Calibri"/>
                <w:color w:val="000000"/>
                <w:lang w:eastAsia="fr-FR"/>
              </w:rPr>
            </w:pPr>
            <w:r w:rsidRPr="00AD3A49">
              <w:rPr>
                <w:rFonts w:ascii="Calibri" w:eastAsia="Times New Roman" w:hAnsi="Calibri" w:cs="Calibri"/>
                <w:color w:val="000000"/>
                <w:lang w:eastAsia="fr-FR"/>
              </w:rPr>
              <w:t> </w:t>
            </w:r>
          </w:p>
        </w:tc>
        <w:tc>
          <w:tcPr>
            <w:tcW w:w="1985" w:type="dxa"/>
            <w:tcBorders>
              <w:top w:val="single" w:sz="4" w:space="0" w:color="auto"/>
              <w:left w:val="nil"/>
              <w:bottom w:val="nil"/>
              <w:right w:val="nil"/>
            </w:tcBorders>
            <w:shd w:val="clear" w:color="auto" w:fill="auto"/>
            <w:noWrap/>
            <w:vAlign w:val="center"/>
            <w:hideMark/>
          </w:tcPr>
          <w:p w:rsidR="00AD3A49" w:rsidRPr="00AD3A49" w:rsidRDefault="00AD3A49" w:rsidP="00AD3A49">
            <w:pPr>
              <w:spacing w:after="0" w:line="240" w:lineRule="auto"/>
              <w:rPr>
                <w:rFonts w:ascii="Calibri" w:eastAsia="Times New Roman" w:hAnsi="Calibri" w:cs="Calibri"/>
                <w:color w:val="000000"/>
                <w:lang w:eastAsia="fr-FR"/>
              </w:rPr>
            </w:pPr>
            <w:r w:rsidRPr="00AD3A49">
              <w:rPr>
                <w:rFonts w:ascii="Calibri" w:eastAsia="Times New Roman" w:hAnsi="Calibri" w:cs="Calibri"/>
                <w:color w:val="000000"/>
                <w:lang w:eastAsia="fr-FR"/>
              </w:rPr>
              <w:t> </w:t>
            </w:r>
          </w:p>
        </w:tc>
        <w:tc>
          <w:tcPr>
            <w:tcW w:w="1701" w:type="dxa"/>
            <w:tcBorders>
              <w:top w:val="single" w:sz="4" w:space="0" w:color="auto"/>
              <w:left w:val="nil"/>
              <w:bottom w:val="nil"/>
              <w:right w:val="nil"/>
            </w:tcBorders>
            <w:shd w:val="clear" w:color="auto" w:fill="auto"/>
            <w:noWrap/>
            <w:vAlign w:val="center"/>
            <w:hideMark/>
          </w:tcPr>
          <w:p w:rsidR="00AD3A49" w:rsidRPr="00AD3A49" w:rsidRDefault="00AD3A49" w:rsidP="00AD3A49">
            <w:pPr>
              <w:spacing w:after="0" w:line="240" w:lineRule="auto"/>
              <w:rPr>
                <w:rFonts w:ascii="Calibri" w:eastAsia="Times New Roman" w:hAnsi="Calibri" w:cs="Calibri"/>
                <w:color w:val="000000"/>
                <w:lang w:eastAsia="fr-FR"/>
              </w:rPr>
            </w:pPr>
            <w:r w:rsidRPr="00AD3A49">
              <w:rPr>
                <w:rFonts w:ascii="Calibri" w:eastAsia="Times New Roman" w:hAnsi="Calibri" w:cs="Calibri"/>
                <w:color w:val="000000"/>
                <w:lang w:eastAsia="fr-FR"/>
              </w:rPr>
              <w:t> </w:t>
            </w:r>
          </w:p>
        </w:tc>
      </w:tr>
      <w:tr w:rsidR="00153B0F" w:rsidRPr="00AD3A49" w:rsidTr="00153B0F">
        <w:trPr>
          <w:trHeight w:val="300"/>
        </w:trPr>
        <w:tc>
          <w:tcPr>
            <w:tcW w:w="2977"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Calibri" w:eastAsia="Times New Roman" w:hAnsi="Calibri" w:cs="Calibri"/>
                <w:color w:val="000000"/>
                <w:lang w:eastAsia="fr-FR"/>
              </w:rPr>
            </w:pPr>
          </w:p>
        </w:tc>
        <w:tc>
          <w:tcPr>
            <w:tcW w:w="709"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1318" w:type="dxa"/>
            <w:vMerge/>
            <w:tcBorders>
              <w:top w:val="single" w:sz="4" w:space="0" w:color="auto"/>
              <w:left w:val="single" w:sz="4" w:space="0" w:color="auto"/>
              <w:bottom w:val="single" w:sz="4" w:space="0" w:color="auto"/>
              <w:right w:val="single" w:sz="4" w:space="0" w:color="auto"/>
            </w:tcBorders>
            <w:vAlign w:val="center"/>
            <w:hideMark/>
          </w:tcPr>
          <w:p w:rsidR="00AD3A49" w:rsidRPr="00AD3A49" w:rsidRDefault="00AD3A49" w:rsidP="00AD3A49">
            <w:pPr>
              <w:spacing w:after="0" w:line="240" w:lineRule="auto"/>
              <w:rPr>
                <w:rFonts w:ascii="Calibri" w:eastAsia="Times New Roman" w:hAnsi="Calibri" w:cs="Calibri"/>
                <w:lang w:eastAsia="fr-FR"/>
              </w:rPr>
            </w:pPr>
          </w:p>
        </w:tc>
        <w:tc>
          <w:tcPr>
            <w:tcW w:w="1107" w:type="dxa"/>
            <w:vMerge/>
            <w:tcBorders>
              <w:top w:val="single" w:sz="4" w:space="0" w:color="auto"/>
              <w:left w:val="single" w:sz="4" w:space="0" w:color="auto"/>
              <w:bottom w:val="single" w:sz="4" w:space="0" w:color="000000"/>
              <w:right w:val="single" w:sz="4" w:space="0" w:color="auto"/>
            </w:tcBorders>
            <w:vAlign w:val="center"/>
            <w:hideMark/>
          </w:tcPr>
          <w:p w:rsidR="00AD3A49" w:rsidRPr="00AD3A49" w:rsidRDefault="00AD3A49" w:rsidP="00AD3A49">
            <w:pPr>
              <w:spacing w:after="0" w:line="240" w:lineRule="auto"/>
              <w:rPr>
                <w:rFonts w:ascii="Calibri" w:eastAsia="Times New Roman" w:hAnsi="Calibri" w:cs="Calibri"/>
                <w:lang w:eastAsia="fr-FR"/>
              </w:rPr>
            </w:pPr>
          </w:p>
        </w:tc>
        <w:tc>
          <w:tcPr>
            <w:tcW w:w="1568" w:type="dxa"/>
            <w:vMerge/>
            <w:tcBorders>
              <w:top w:val="nil"/>
              <w:left w:val="single" w:sz="4" w:space="0" w:color="auto"/>
              <w:bottom w:val="single" w:sz="4" w:space="0" w:color="000000"/>
              <w:right w:val="single" w:sz="4" w:space="0" w:color="auto"/>
            </w:tcBorders>
            <w:vAlign w:val="center"/>
            <w:hideMark/>
          </w:tcPr>
          <w:p w:rsidR="00AD3A49" w:rsidRPr="00AD3A49" w:rsidRDefault="00AD3A49" w:rsidP="00AD3A49">
            <w:pPr>
              <w:spacing w:after="0" w:line="240" w:lineRule="auto"/>
              <w:rPr>
                <w:rFonts w:ascii="Calibri" w:eastAsia="Times New Roman" w:hAnsi="Calibri" w:cs="Calibri"/>
                <w:lang w:eastAsia="fr-FR"/>
              </w:rPr>
            </w:pPr>
          </w:p>
        </w:tc>
        <w:tc>
          <w:tcPr>
            <w:tcW w:w="111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D3A49" w:rsidRPr="00AD3A49" w:rsidRDefault="00AD3A49" w:rsidP="00AD3A49">
            <w:pPr>
              <w:spacing w:after="0" w:line="240" w:lineRule="auto"/>
              <w:jc w:val="center"/>
              <w:rPr>
                <w:rFonts w:ascii="Calibri" w:eastAsia="Times New Roman" w:hAnsi="Calibri" w:cs="Calibri"/>
                <w:b/>
                <w:bCs/>
                <w:color w:val="000000"/>
                <w:lang w:eastAsia="fr-FR"/>
              </w:rPr>
            </w:pPr>
            <w:r w:rsidRPr="00AD3A49">
              <w:rPr>
                <w:rFonts w:ascii="Calibri" w:eastAsia="Times New Roman" w:hAnsi="Calibri" w:cs="Calibri"/>
                <w:b/>
                <w:bCs/>
                <w:color w:val="000000"/>
                <w:lang w:eastAsia="fr-FR"/>
              </w:rPr>
              <w:t> </w:t>
            </w:r>
          </w:p>
        </w:tc>
        <w:tc>
          <w:tcPr>
            <w:tcW w:w="6237" w:type="dxa"/>
            <w:gridSpan w:val="4"/>
            <w:tcBorders>
              <w:top w:val="single" w:sz="4" w:space="0" w:color="auto"/>
              <w:left w:val="single" w:sz="4" w:space="0" w:color="auto"/>
              <w:bottom w:val="nil"/>
              <w:right w:val="single" w:sz="4" w:space="0" w:color="000000"/>
            </w:tcBorders>
            <w:shd w:val="clear" w:color="auto" w:fill="auto"/>
            <w:noWrap/>
            <w:vAlign w:val="center"/>
            <w:hideMark/>
          </w:tcPr>
          <w:p w:rsidR="00AD3A49" w:rsidRPr="00AD3A49" w:rsidRDefault="00AD3A49" w:rsidP="00AD3A49">
            <w:pPr>
              <w:spacing w:after="0" w:line="240" w:lineRule="auto"/>
              <w:jc w:val="center"/>
              <w:rPr>
                <w:rFonts w:ascii="Calibri" w:eastAsia="Times New Roman" w:hAnsi="Calibri" w:cs="Calibri"/>
                <w:color w:val="000000"/>
                <w:lang w:eastAsia="fr-FR"/>
              </w:rPr>
            </w:pPr>
            <w:r w:rsidRPr="00AD3A49">
              <w:rPr>
                <w:rFonts w:ascii="Calibri" w:eastAsia="Times New Roman" w:hAnsi="Calibri" w:cs="Calibri"/>
                <w:color w:val="000000"/>
                <w:lang w:eastAsia="fr-FR"/>
              </w:rPr>
              <w:t>Prestations de retraite</w:t>
            </w:r>
          </w:p>
        </w:tc>
      </w:tr>
      <w:tr w:rsidR="00153B0F" w:rsidRPr="00AD3A49" w:rsidTr="003564E8">
        <w:trPr>
          <w:trHeight w:val="900"/>
        </w:trPr>
        <w:tc>
          <w:tcPr>
            <w:tcW w:w="2977"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jc w:val="center"/>
              <w:rPr>
                <w:rFonts w:ascii="Calibri" w:eastAsia="Times New Roman" w:hAnsi="Calibri" w:cs="Calibri"/>
                <w:color w:val="000000"/>
                <w:lang w:eastAsia="fr-FR"/>
              </w:rPr>
            </w:pPr>
          </w:p>
        </w:tc>
        <w:tc>
          <w:tcPr>
            <w:tcW w:w="709"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1318" w:type="dxa"/>
            <w:vMerge/>
            <w:tcBorders>
              <w:top w:val="single" w:sz="4" w:space="0" w:color="auto"/>
              <w:left w:val="single" w:sz="4" w:space="0" w:color="auto"/>
              <w:bottom w:val="single" w:sz="4" w:space="0" w:color="auto"/>
              <w:right w:val="single" w:sz="4" w:space="0" w:color="auto"/>
            </w:tcBorders>
            <w:vAlign w:val="center"/>
            <w:hideMark/>
          </w:tcPr>
          <w:p w:rsidR="00AD3A49" w:rsidRPr="00AD3A49" w:rsidRDefault="00AD3A49" w:rsidP="00AD3A49">
            <w:pPr>
              <w:spacing w:after="0" w:line="240" w:lineRule="auto"/>
              <w:rPr>
                <w:rFonts w:ascii="Calibri" w:eastAsia="Times New Roman" w:hAnsi="Calibri" w:cs="Calibri"/>
                <w:lang w:eastAsia="fr-FR"/>
              </w:rPr>
            </w:pPr>
          </w:p>
        </w:tc>
        <w:tc>
          <w:tcPr>
            <w:tcW w:w="1107" w:type="dxa"/>
            <w:vMerge/>
            <w:tcBorders>
              <w:top w:val="single" w:sz="4" w:space="0" w:color="auto"/>
              <w:left w:val="single" w:sz="4" w:space="0" w:color="auto"/>
              <w:bottom w:val="single" w:sz="4" w:space="0" w:color="000000"/>
              <w:right w:val="single" w:sz="4" w:space="0" w:color="auto"/>
            </w:tcBorders>
            <w:vAlign w:val="center"/>
            <w:hideMark/>
          </w:tcPr>
          <w:p w:rsidR="00AD3A49" w:rsidRPr="00AD3A49" w:rsidRDefault="00AD3A49" w:rsidP="00AD3A49">
            <w:pPr>
              <w:spacing w:after="0" w:line="240" w:lineRule="auto"/>
              <w:rPr>
                <w:rFonts w:ascii="Calibri" w:eastAsia="Times New Roman" w:hAnsi="Calibri" w:cs="Calibri"/>
                <w:lang w:eastAsia="fr-FR"/>
              </w:rPr>
            </w:pPr>
          </w:p>
        </w:tc>
        <w:tc>
          <w:tcPr>
            <w:tcW w:w="1568" w:type="dxa"/>
            <w:vMerge/>
            <w:tcBorders>
              <w:top w:val="nil"/>
              <w:left w:val="single" w:sz="4" w:space="0" w:color="auto"/>
              <w:bottom w:val="single" w:sz="4" w:space="0" w:color="000000"/>
              <w:right w:val="single" w:sz="4" w:space="0" w:color="auto"/>
            </w:tcBorders>
            <w:vAlign w:val="center"/>
            <w:hideMark/>
          </w:tcPr>
          <w:p w:rsidR="00AD3A49" w:rsidRPr="00AD3A49" w:rsidRDefault="00AD3A49" w:rsidP="00AD3A49">
            <w:pPr>
              <w:spacing w:after="0" w:line="240" w:lineRule="auto"/>
              <w:rPr>
                <w:rFonts w:ascii="Calibri" w:eastAsia="Times New Roman" w:hAnsi="Calibri" w:cs="Calibri"/>
                <w:lang w:eastAsia="fr-FR"/>
              </w:rPr>
            </w:pPr>
          </w:p>
        </w:tc>
        <w:tc>
          <w:tcPr>
            <w:tcW w:w="1110" w:type="dxa"/>
            <w:vMerge/>
            <w:tcBorders>
              <w:top w:val="nil"/>
              <w:left w:val="single" w:sz="4" w:space="0" w:color="auto"/>
              <w:bottom w:val="single" w:sz="4" w:space="0" w:color="000000"/>
              <w:right w:val="single" w:sz="4" w:space="0" w:color="auto"/>
            </w:tcBorders>
            <w:vAlign w:val="center"/>
            <w:hideMark/>
          </w:tcPr>
          <w:p w:rsidR="00AD3A49" w:rsidRPr="00AD3A49" w:rsidRDefault="00AD3A49" w:rsidP="00AD3A49">
            <w:pPr>
              <w:spacing w:after="0" w:line="240" w:lineRule="auto"/>
              <w:rPr>
                <w:rFonts w:ascii="Calibri" w:eastAsia="Times New Roman" w:hAnsi="Calibri" w:cs="Calibri"/>
                <w:b/>
                <w:bCs/>
                <w:color w:val="000000"/>
                <w:lang w:eastAsia="fr-FR"/>
              </w:rPr>
            </w:pPr>
          </w:p>
        </w:tc>
        <w:tc>
          <w:tcPr>
            <w:tcW w:w="850" w:type="dxa"/>
            <w:tcBorders>
              <w:top w:val="nil"/>
              <w:left w:val="nil"/>
              <w:bottom w:val="single" w:sz="4" w:space="0" w:color="auto"/>
              <w:right w:val="single" w:sz="4" w:space="0" w:color="auto"/>
            </w:tcBorders>
            <w:shd w:val="clear" w:color="auto" w:fill="auto"/>
            <w:vAlign w:val="center"/>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Prestations de retraite sous forme de rente</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Prestations de retraite sous forme de capital unique</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Prestations de retraite sous forme de retraits</w:t>
            </w:r>
          </w:p>
        </w:tc>
      </w:tr>
      <w:tr w:rsidR="00153B0F" w:rsidRPr="00AD3A49" w:rsidTr="003564E8">
        <w:trPr>
          <w:trHeight w:val="300"/>
        </w:trPr>
        <w:tc>
          <w:tcPr>
            <w:tcW w:w="2977"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jc w:val="center"/>
              <w:rPr>
                <w:rFonts w:ascii="Calibri" w:eastAsia="Times New Roman" w:hAnsi="Calibri" w:cs="Calibri"/>
                <w:lang w:eastAsia="fr-FR"/>
              </w:rPr>
            </w:pPr>
          </w:p>
        </w:tc>
        <w:tc>
          <w:tcPr>
            <w:tcW w:w="709" w:type="dxa"/>
            <w:tcBorders>
              <w:top w:val="nil"/>
              <w:left w:val="nil"/>
              <w:bottom w:val="nil"/>
              <w:right w:val="nil"/>
            </w:tcBorders>
            <w:shd w:val="clear" w:color="auto" w:fill="auto"/>
            <w:noWrap/>
            <w:vAlign w:val="bottom"/>
            <w:hideMark/>
          </w:tcPr>
          <w:p w:rsidR="00AD3A49" w:rsidRPr="00AD3A49" w:rsidRDefault="00AD3A49" w:rsidP="00AD3A49">
            <w:pPr>
              <w:spacing w:after="0" w:line="240" w:lineRule="auto"/>
              <w:rPr>
                <w:rFonts w:ascii="Times New Roman" w:eastAsia="Times New Roman" w:hAnsi="Times New Roman" w:cs="Times New Roman"/>
                <w:sz w:val="20"/>
                <w:szCs w:val="20"/>
                <w:lang w:eastAsia="fr-FR"/>
              </w:rPr>
            </w:pPr>
          </w:p>
        </w:tc>
        <w:tc>
          <w:tcPr>
            <w:tcW w:w="1318" w:type="dxa"/>
            <w:tcBorders>
              <w:top w:val="nil"/>
              <w:left w:val="single" w:sz="4" w:space="0" w:color="auto"/>
              <w:bottom w:val="single" w:sz="4" w:space="0" w:color="auto"/>
              <w:right w:val="single" w:sz="4" w:space="0" w:color="auto"/>
            </w:tcBorders>
            <w:shd w:val="clear" w:color="auto" w:fill="auto"/>
            <w:noWrap/>
            <w:vAlign w:val="center"/>
            <w:hideMark/>
          </w:tcPr>
          <w:p w:rsidR="00AD3A49" w:rsidRPr="00AD3A49" w:rsidRDefault="00AD3A49" w:rsidP="00AD3A49">
            <w:pPr>
              <w:spacing w:after="0" w:line="240" w:lineRule="auto"/>
              <w:jc w:val="center"/>
              <w:rPr>
                <w:rFonts w:ascii="Times New Roman" w:eastAsia="Times New Roman" w:hAnsi="Times New Roman" w:cs="Times New Roman"/>
                <w:b/>
                <w:bCs/>
                <w:sz w:val="18"/>
                <w:szCs w:val="18"/>
                <w:lang w:eastAsia="fr-FR"/>
              </w:rPr>
            </w:pPr>
            <w:r w:rsidRPr="00AD3A49">
              <w:rPr>
                <w:rFonts w:ascii="Times New Roman" w:eastAsia="Times New Roman" w:hAnsi="Times New Roman" w:cs="Times New Roman"/>
                <w:b/>
                <w:bCs/>
                <w:sz w:val="18"/>
                <w:szCs w:val="18"/>
                <w:lang w:eastAsia="fr-FR"/>
              </w:rPr>
              <w:t>C0150</w:t>
            </w:r>
          </w:p>
        </w:tc>
        <w:tc>
          <w:tcPr>
            <w:tcW w:w="1107" w:type="dxa"/>
            <w:tcBorders>
              <w:top w:val="single" w:sz="4" w:space="0" w:color="auto"/>
              <w:left w:val="nil"/>
              <w:bottom w:val="single" w:sz="4" w:space="0" w:color="auto"/>
              <w:right w:val="single" w:sz="4" w:space="0" w:color="auto"/>
            </w:tcBorders>
            <w:shd w:val="clear" w:color="auto" w:fill="auto"/>
            <w:noWrap/>
            <w:vAlign w:val="center"/>
            <w:hideMark/>
          </w:tcPr>
          <w:p w:rsidR="00AD3A49" w:rsidRPr="00AD3A49" w:rsidRDefault="00AD3A49" w:rsidP="00AD3A49">
            <w:pPr>
              <w:spacing w:after="0" w:line="240" w:lineRule="auto"/>
              <w:jc w:val="center"/>
              <w:rPr>
                <w:rFonts w:ascii="Times New Roman" w:eastAsia="Times New Roman" w:hAnsi="Times New Roman" w:cs="Times New Roman"/>
                <w:b/>
                <w:bCs/>
                <w:sz w:val="18"/>
                <w:szCs w:val="18"/>
                <w:lang w:eastAsia="fr-FR"/>
              </w:rPr>
            </w:pPr>
            <w:r w:rsidRPr="00AD3A49">
              <w:rPr>
                <w:rFonts w:ascii="Times New Roman" w:eastAsia="Times New Roman" w:hAnsi="Times New Roman" w:cs="Times New Roman"/>
                <w:b/>
                <w:bCs/>
                <w:sz w:val="18"/>
                <w:szCs w:val="18"/>
                <w:lang w:eastAsia="fr-FR"/>
              </w:rPr>
              <w:t>C0160</w:t>
            </w:r>
          </w:p>
        </w:tc>
        <w:tc>
          <w:tcPr>
            <w:tcW w:w="1568" w:type="dxa"/>
            <w:tcBorders>
              <w:top w:val="single" w:sz="4" w:space="0" w:color="auto"/>
              <w:left w:val="nil"/>
              <w:bottom w:val="single" w:sz="4" w:space="0" w:color="auto"/>
              <w:right w:val="single" w:sz="4" w:space="0" w:color="auto"/>
            </w:tcBorders>
            <w:shd w:val="clear" w:color="auto" w:fill="auto"/>
            <w:noWrap/>
            <w:vAlign w:val="center"/>
            <w:hideMark/>
          </w:tcPr>
          <w:p w:rsidR="00AD3A49" w:rsidRPr="00AD3A49" w:rsidRDefault="00AD3A49" w:rsidP="00AD3A49">
            <w:pPr>
              <w:spacing w:after="0" w:line="240" w:lineRule="auto"/>
              <w:jc w:val="center"/>
              <w:rPr>
                <w:rFonts w:ascii="Times New Roman" w:eastAsia="Times New Roman" w:hAnsi="Times New Roman" w:cs="Times New Roman"/>
                <w:b/>
                <w:bCs/>
                <w:sz w:val="18"/>
                <w:szCs w:val="18"/>
                <w:lang w:eastAsia="fr-FR"/>
              </w:rPr>
            </w:pPr>
            <w:r w:rsidRPr="00AD3A49">
              <w:rPr>
                <w:rFonts w:ascii="Times New Roman" w:eastAsia="Times New Roman" w:hAnsi="Times New Roman" w:cs="Times New Roman"/>
                <w:b/>
                <w:bCs/>
                <w:sz w:val="18"/>
                <w:szCs w:val="18"/>
                <w:lang w:eastAsia="fr-FR"/>
              </w:rPr>
              <w:t>C0170</w:t>
            </w:r>
          </w:p>
        </w:tc>
        <w:tc>
          <w:tcPr>
            <w:tcW w:w="1110" w:type="dxa"/>
            <w:tcBorders>
              <w:top w:val="single" w:sz="4" w:space="0" w:color="auto"/>
              <w:left w:val="nil"/>
              <w:bottom w:val="single" w:sz="4" w:space="0" w:color="auto"/>
              <w:right w:val="single" w:sz="4" w:space="0" w:color="auto"/>
            </w:tcBorders>
            <w:shd w:val="clear" w:color="auto" w:fill="auto"/>
            <w:noWrap/>
            <w:vAlign w:val="center"/>
            <w:hideMark/>
          </w:tcPr>
          <w:p w:rsidR="00AD3A49" w:rsidRPr="00AD3A49" w:rsidRDefault="00AD3A49" w:rsidP="00AD3A49">
            <w:pPr>
              <w:spacing w:after="0" w:line="240" w:lineRule="auto"/>
              <w:jc w:val="center"/>
              <w:rPr>
                <w:rFonts w:ascii="Times New Roman" w:eastAsia="Times New Roman" w:hAnsi="Times New Roman" w:cs="Times New Roman"/>
                <w:b/>
                <w:bCs/>
                <w:sz w:val="18"/>
                <w:szCs w:val="18"/>
                <w:lang w:eastAsia="fr-FR"/>
              </w:rPr>
            </w:pPr>
            <w:r w:rsidRPr="00AD3A49">
              <w:rPr>
                <w:rFonts w:ascii="Times New Roman" w:eastAsia="Times New Roman" w:hAnsi="Times New Roman" w:cs="Times New Roman"/>
                <w:b/>
                <w:bCs/>
                <w:sz w:val="18"/>
                <w:szCs w:val="18"/>
                <w:lang w:eastAsia="fr-FR"/>
              </w:rPr>
              <w:t>C0190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AD3A49" w:rsidRPr="00AD3A49" w:rsidRDefault="00AD3A49" w:rsidP="00AD3A49">
            <w:pPr>
              <w:spacing w:after="0" w:line="240" w:lineRule="auto"/>
              <w:jc w:val="center"/>
              <w:rPr>
                <w:rFonts w:ascii="Times New Roman" w:eastAsia="Times New Roman" w:hAnsi="Times New Roman" w:cs="Times New Roman"/>
                <w:b/>
                <w:bCs/>
                <w:sz w:val="18"/>
                <w:szCs w:val="18"/>
                <w:lang w:eastAsia="fr-FR"/>
              </w:rPr>
            </w:pPr>
            <w:r w:rsidRPr="00AD3A49">
              <w:rPr>
                <w:rFonts w:ascii="Times New Roman" w:eastAsia="Times New Roman" w:hAnsi="Times New Roman" w:cs="Times New Roman"/>
                <w:b/>
                <w:bCs/>
                <w:sz w:val="18"/>
                <w:szCs w:val="18"/>
                <w:lang w:eastAsia="fr-FR"/>
              </w:rPr>
              <w:t>C0200</w:t>
            </w:r>
          </w:p>
        </w:tc>
        <w:tc>
          <w:tcPr>
            <w:tcW w:w="1701" w:type="dxa"/>
            <w:tcBorders>
              <w:top w:val="nil"/>
              <w:left w:val="nil"/>
              <w:bottom w:val="single" w:sz="4" w:space="0" w:color="auto"/>
              <w:right w:val="single" w:sz="4" w:space="0" w:color="auto"/>
            </w:tcBorders>
            <w:shd w:val="clear" w:color="auto" w:fill="auto"/>
            <w:noWrap/>
            <w:vAlign w:val="center"/>
            <w:hideMark/>
          </w:tcPr>
          <w:p w:rsidR="00AD3A49" w:rsidRPr="00AD3A49" w:rsidRDefault="00AD3A49" w:rsidP="00AD3A49">
            <w:pPr>
              <w:spacing w:after="0" w:line="240" w:lineRule="auto"/>
              <w:jc w:val="center"/>
              <w:rPr>
                <w:rFonts w:ascii="Times New Roman" w:eastAsia="Times New Roman" w:hAnsi="Times New Roman" w:cs="Times New Roman"/>
                <w:b/>
                <w:bCs/>
                <w:sz w:val="18"/>
                <w:szCs w:val="18"/>
                <w:lang w:eastAsia="fr-FR"/>
              </w:rPr>
            </w:pPr>
            <w:r w:rsidRPr="00AD3A49">
              <w:rPr>
                <w:rFonts w:ascii="Times New Roman" w:eastAsia="Times New Roman" w:hAnsi="Times New Roman" w:cs="Times New Roman"/>
                <w:b/>
                <w:bCs/>
                <w:sz w:val="18"/>
                <w:szCs w:val="18"/>
                <w:lang w:eastAsia="fr-FR"/>
              </w:rPr>
              <w:t>C0210</w:t>
            </w:r>
          </w:p>
        </w:tc>
        <w:tc>
          <w:tcPr>
            <w:tcW w:w="1985" w:type="dxa"/>
            <w:tcBorders>
              <w:top w:val="nil"/>
              <w:left w:val="nil"/>
              <w:bottom w:val="single" w:sz="4" w:space="0" w:color="auto"/>
              <w:right w:val="single" w:sz="4" w:space="0" w:color="auto"/>
            </w:tcBorders>
            <w:shd w:val="clear" w:color="auto" w:fill="auto"/>
            <w:noWrap/>
            <w:vAlign w:val="center"/>
            <w:hideMark/>
          </w:tcPr>
          <w:p w:rsidR="00AD3A49" w:rsidRPr="00AD3A49" w:rsidRDefault="00AD3A49" w:rsidP="00AD3A49">
            <w:pPr>
              <w:spacing w:after="0" w:line="240" w:lineRule="auto"/>
              <w:jc w:val="center"/>
              <w:rPr>
                <w:rFonts w:ascii="Times New Roman" w:eastAsia="Times New Roman" w:hAnsi="Times New Roman" w:cs="Times New Roman"/>
                <w:b/>
                <w:bCs/>
                <w:sz w:val="18"/>
                <w:szCs w:val="18"/>
                <w:lang w:eastAsia="fr-FR"/>
              </w:rPr>
            </w:pPr>
            <w:r w:rsidRPr="00AD3A49">
              <w:rPr>
                <w:rFonts w:ascii="Times New Roman" w:eastAsia="Times New Roman" w:hAnsi="Times New Roman" w:cs="Times New Roman"/>
                <w:b/>
                <w:bCs/>
                <w:sz w:val="18"/>
                <w:szCs w:val="18"/>
                <w:lang w:eastAsia="fr-FR"/>
              </w:rPr>
              <w:t>C0220</w:t>
            </w:r>
          </w:p>
        </w:tc>
        <w:tc>
          <w:tcPr>
            <w:tcW w:w="1701" w:type="dxa"/>
            <w:tcBorders>
              <w:top w:val="nil"/>
              <w:left w:val="nil"/>
              <w:bottom w:val="single" w:sz="4" w:space="0" w:color="auto"/>
              <w:right w:val="single" w:sz="4" w:space="0" w:color="auto"/>
            </w:tcBorders>
            <w:shd w:val="clear" w:color="auto" w:fill="auto"/>
            <w:noWrap/>
            <w:vAlign w:val="center"/>
            <w:hideMark/>
          </w:tcPr>
          <w:p w:rsidR="00AD3A49" w:rsidRPr="00AD3A49" w:rsidRDefault="00AD3A49" w:rsidP="00AD3A49">
            <w:pPr>
              <w:spacing w:after="0" w:line="240" w:lineRule="auto"/>
              <w:jc w:val="center"/>
              <w:rPr>
                <w:rFonts w:ascii="Times New Roman" w:eastAsia="Times New Roman" w:hAnsi="Times New Roman" w:cs="Times New Roman"/>
                <w:b/>
                <w:bCs/>
                <w:sz w:val="18"/>
                <w:szCs w:val="18"/>
                <w:lang w:eastAsia="fr-FR"/>
              </w:rPr>
            </w:pPr>
            <w:r w:rsidRPr="00AD3A49">
              <w:rPr>
                <w:rFonts w:ascii="Times New Roman" w:eastAsia="Times New Roman" w:hAnsi="Times New Roman" w:cs="Times New Roman"/>
                <w:b/>
                <w:bCs/>
                <w:sz w:val="18"/>
                <w:szCs w:val="18"/>
                <w:lang w:eastAsia="fr-FR"/>
              </w:rPr>
              <w:t>C0230</w:t>
            </w:r>
          </w:p>
        </w:tc>
      </w:tr>
      <w:tr w:rsidR="003564E8" w:rsidRPr="00AD3A49" w:rsidTr="00153B0F">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3A49" w:rsidRPr="00AD3A49" w:rsidRDefault="00AD3A49" w:rsidP="00AD3A49">
            <w:pPr>
              <w:spacing w:after="0" w:line="240" w:lineRule="auto"/>
              <w:rPr>
                <w:rFonts w:ascii="Times New Roman" w:eastAsia="Times New Roman" w:hAnsi="Times New Roman" w:cs="Times New Roman"/>
                <w:sz w:val="18"/>
                <w:szCs w:val="18"/>
                <w:lang w:eastAsia="fr-FR"/>
              </w:rPr>
            </w:pPr>
            <w:r w:rsidRPr="00AD3A49">
              <w:rPr>
                <w:rFonts w:ascii="Times New Roman" w:eastAsia="Times New Roman" w:hAnsi="Times New Roman" w:cs="Times New Roman"/>
                <w:sz w:val="18"/>
                <w:szCs w:val="18"/>
                <w:lang w:eastAsia="fr-FR"/>
              </w:rPr>
              <w:t>PEPP de base</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D3A49" w:rsidRPr="00AD3A49" w:rsidRDefault="00AD3A49" w:rsidP="00AD3A49">
            <w:pPr>
              <w:spacing w:after="0" w:line="240" w:lineRule="auto"/>
              <w:jc w:val="center"/>
              <w:rPr>
                <w:rFonts w:ascii="Times New Roman" w:eastAsia="Times New Roman" w:hAnsi="Times New Roman" w:cs="Times New Roman"/>
                <w:b/>
                <w:bCs/>
                <w:sz w:val="18"/>
                <w:szCs w:val="18"/>
                <w:lang w:eastAsia="fr-FR"/>
              </w:rPr>
            </w:pPr>
            <w:r w:rsidRPr="00AD3A49">
              <w:rPr>
                <w:rFonts w:ascii="Times New Roman" w:eastAsia="Times New Roman" w:hAnsi="Times New Roman" w:cs="Times New Roman"/>
                <w:b/>
                <w:bCs/>
                <w:sz w:val="18"/>
                <w:szCs w:val="18"/>
                <w:lang w:eastAsia="fr-FR"/>
              </w:rPr>
              <w:t>R0010</w:t>
            </w:r>
          </w:p>
        </w:tc>
        <w:tc>
          <w:tcPr>
            <w:tcW w:w="1318"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noWrap/>
            <w:vAlign w:val="center"/>
            <w:hideMark/>
          </w:tcPr>
          <w:p w:rsidR="00AD3A49" w:rsidRPr="00AD3A49" w:rsidRDefault="00AD3A49" w:rsidP="00AD3A49">
            <w:pPr>
              <w:spacing w:after="0" w:line="240" w:lineRule="auto"/>
              <w:rPr>
                <w:rFonts w:ascii="Calibri" w:eastAsia="Times New Roman" w:hAnsi="Calibri" w:cs="Calibri"/>
                <w:color w:val="000000"/>
                <w:lang w:eastAsia="fr-FR"/>
              </w:rPr>
            </w:pPr>
            <w:r w:rsidRPr="00AD3A49">
              <w:rPr>
                <w:rFonts w:ascii="Calibri" w:eastAsia="Times New Roman" w:hAnsi="Calibri" w:cs="Calibri"/>
                <w:color w:val="000000"/>
                <w:lang w:eastAsia="fr-FR"/>
              </w:rPr>
              <w:t> </w:t>
            </w:r>
          </w:p>
        </w:tc>
        <w:tc>
          <w:tcPr>
            <w:tcW w:w="1107"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hideMark/>
          </w:tcPr>
          <w:p w:rsidR="00AD3A49" w:rsidRPr="00AD3A49" w:rsidRDefault="00AD3A49" w:rsidP="00AD3A49">
            <w:pPr>
              <w:spacing w:after="0" w:line="240" w:lineRule="auto"/>
              <w:rPr>
                <w:rFonts w:ascii="Calibri" w:eastAsia="Times New Roman" w:hAnsi="Calibri" w:cs="Calibri"/>
                <w:color w:val="000000"/>
                <w:lang w:eastAsia="fr-FR"/>
              </w:rPr>
            </w:pPr>
            <w:r w:rsidRPr="00AD3A49">
              <w:rPr>
                <w:rFonts w:ascii="Calibri" w:eastAsia="Times New Roman" w:hAnsi="Calibri" w:cs="Calibri"/>
                <w:color w:val="000000"/>
                <w:lang w:eastAsia="fr-FR"/>
              </w:rPr>
              <w:t> </w:t>
            </w:r>
          </w:p>
        </w:tc>
        <w:tc>
          <w:tcPr>
            <w:tcW w:w="1568"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hideMark/>
          </w:tcPr>
          <w:p w:rsidR="00AD3A49" w:rsidRPr="00AD3A49" w:rsidRDefault="00AD3A49" w:rsidP="00AD3A49">
            <w:pPr>
              <w:spacing w:after="0" w:line="240" w:lineRule="auto"/>
              <w:rPr>
                <w:rFonts w:ascii="Calibri" w:eastAsia="Times New Roman" w:hAnsi="Calibri" w:cs="Calibri"/>
                <w:color w:val="000000"/>
                <w:lang w:eastAsia="fr-FR"/>
              </w:rPr>
            </w:pPr>
            <w:r w:rsidRPr="00AD3A49">
              <w:rPr>
                <w:rFonts w:ascii="Calibri" w:eastAsia="Times New Roman" w:hAnsi="Calibri" w:cs="Calibri"/>
                <w:color w:val="000000"/>
                <w:lang w:eastAsia="fr-FR"/>
              </w:rPr>
              <w:t> </w:t>
            </w:r>
          </w:p>
        </w:tc>
        <w:tc>
          <w:tcPr>
            <w:tcW w:w="111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hideMark/>
          </w:tcPr>
          <w:p w:rsidR="00AD3A49" w:rsidRPr="00AD3A49" w:rsidRDefault="00AD3A49" w:rsidP="00AD3A49">
            <w:pPr>
              <w:spacing w:after="0" w:line="240" w:lineRule="auto"/>
              <w:rPr>
                <w:rFonts w:ascii="Calibri" w:eastAsia="Times New Roman" w:hAnsi="Calibri" w:cs="Calibri"/>
                <w:color w:val="000000"/>
                <w:lang w:eastAsia="fr-FR"/>
              </w:rPr>
            </w:pPr>
            <w:r w:rsidRPr="00AD3A49">
              <w:rPr>
                <w:rFonts w:ascii="Calibri" w:eastAsia="Times New Roman" w:hAnsi="Calibri" w:cs="Calibri"/>
                <w:color w:val="000000"/>
                <w:lang w:eastAsia="fr-FR"/>
              </w:rPr>
              <w:t> </w:t>
            </w:r>
          </w:p>
        </w:tc>
        <w:tc>
          <w:tcPr>
            <w:tcW w:w="85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hideMark/>
          </w:tcPr>
          <w:p w:rsidR="00AD3A49" w:rsidRPr="00AD3A49" w:rsidRDefault="00AD3A49" w:rsidP="00AD3A49">
            <w:pPr>
              <w:spacing w:after="0" w:line="240" w:lineRule="auto"/>
              <w:rPr>
                <w:rFonts w:ascii="Calibri" w:eastAsia="Times New Roman" w:hAnsi="Calibri" w:cs="Calibri"/>
                <w:color w:val="000000"/>
                <w:lang w:eastAsia="fr-FR"/>
              </w:rPr>
            </w:pPr>
            <w:r w:rsidRPr="00AD3A49">
              <w:rPr>
                <w:rFonts w:ascii="Calibri" w:eastAsia="Times New Roman" w:hAnsi="Calibri" w:cs="Calibri"/>
                <w:color w:val="000000"/>
                <w:lang w:eastAsia="fr-FR"/>
              </w:rPr>
              <w:t> </w:t>
            </w:r>
          </w:p>
        </w:tc>
        <w:tc>
          <w:tcPr>
            <w:tcW w:w="1701"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hideMark/>
          </w:tcPr>
          <w:p w:rsidR="00AD3A49" w:rsidRPr="00AD3A49" w:rsidRDefault="00AD3A49" w:rsidP="00AD3A49">
            <w:pPr>
              <w:spacing w:after="0" w:line="240" w:lineRule="auto"/>
              <w:rPr>
                <w:rFonts w:ascii="Calibri" w:eastAsia="Times New Roman" w:hAnsi="Calibri" w:cs="Calibri"/>
                <w:color w:val="000000"/>
                <w:lang w:eastAsia="fr-FR"/>
              </w:rPr>
            </w:pPr>
            <w:r w:rsidRPr="00AD3A49">
              <w:rPr>
                <w:rFonts w:ascii="Calibri" w:eastAsia="Times New Roman" w:hAnsi="Calibri" w:cs="Calibri"/>
                <w:color w:val="000000"/>
                <w:lang w:eastAsia="fr-FR"/>
              </w:rPr>
              <w:t> </w:t>
            </w:r>
          </w:p>
        </w:tc>
        <w:tc>
          <w:tcPr>
            <w:tcW w:w="1985"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hideMark/>
          </w:tcPr>
          <w:p w:rsidR="00AD3A49" w:rsidRPr="00AD3A49" w:rsidRDefault="00AD3A49" w:rsidP="00AD3A49">
            <w:pPr>
              <w:spacing w:after="0" w:line="240" w:lineRule="auto"/>
              <w:rPr>
                <w:rFonts w:ascii="Calibri" w:eastAsia="Times New Roman" w:hAnsi="Calibri" w:cs="Calibri"/>
                <w:color w:val="000000"/>
                <w:lang w:eastAsia="fr-FR"/>
              </w:rPr>
            </w:pPr>
            <w:r w:rsidRPr="00AD3A49">
              <w:rPr>
                <w:rFonts w:ascii="Calibri" w:eastAsia="Times New Roman" w:hAnsi="Calibri" w:cs="Calibri"/>
                <w:color w:val="000000"/>
                <w:lang w:eastAsia="fr-FR"/>
              </w:rPr>
              <w:t> </w:t>
            </w:r>
          </w:p>
        </w:tc>
        <w:tc>
          <w:tcPr>
            <w:tcW w:w="1701"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hideMark/>
          </w:tcPr>
          <w:p w:rsidR="00AD3A49" w:rsidRPr="00AD3A49" w:rsidRDefault="00AD3A49" w:rsidP="00AD3A49">
            <w:pPr>
              <w:spacing w:after="0" w:line="240" w:lineRule="auto"/>
              <w:rPr>
                <w:rFonts w:ascii="Calibri" w:eastAsia="Times New Roman" w:hAnsi="Calibri" w:cs="Calibri"/>
                <w:color w:val="000000"/>
                <w:lang w:eastAsia="fr-FR"/>
              </w:rPr>
            </w:pPr>
            <w:r w:rsidRPr="00AD3A49">
              <w:rPr>
                <w:rFonts w:ascii="Calibri" w:eastAsia="Times New Roman" w:hAnsi="Calibri" w:cs="Calibri"/>
                <w:color w:val="000000"/>
                <w:lang w:eastAsia="fr-FR"/>
              </w:rPr>
              <w:t> </w:t>
            </w:r>
          </w:p>
        </w:tc>
      </w:tr>
      <w:tr w:rsidR="00153B0F" w:rsidRPr="00AD3A49" w:rsidTr="003564E8">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3A49" w:rsidRPr="00AD3A49" w:rsidRDefault="00AD3A49" w:rsidP="00AD3A49">
            <w:pPr>
              <w:spacing w:after="0" w:line="240" w:lineRule="auto"/>
              <w:ind w:firstLineChars="100" w:firstLine="220"/>
              <w:rPr>
                <w:rFonts w:ascii="Calibri" w:eastAsia="Times New Roman" w:hAnsi="Calibri" w:cs="Calibri"/>
                <w:lang w:eastAsia="fr-FR"/>
              </w:rPr>
            </w:pPr>
            <w:r w:rsidRPr="00AD3A49">
              <w:rPr>
                <w:rFonts w:ascii="Calibri" w:eastAsia="Times New Roman" w:hAnsi="Calibri" w:cs="Calibri"/>
                <w:lang w:eastAsia="fr-FR"/>
              </w:rPr>
              <w:t>Commercialisé dans le pays</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3A49" w:rsidRPr="00AD3A49" w:rsidRDefault="00AD3A49" w:rsidP="00AD3A49">
            <w:pPr>
              <w:spacing w:after="0" w:line="240" w:lineRule="auto"/>
              <w:jc w:val="center"/>
              <w:rPr>
                <w:rFonts w:ascii="Times New Roman" w:eastAsia="Times New Roman" w:hAnsi="Times New Roman" w:cs="Times New Roman"/>
                <w:b/>
                <w:bCs/>
                <w:sz w:val="18"/>
                <w:szCs w:val="18"/>
                <w:lang w:eastAsia="fr-FR"/>
              </w:rPr>
            </w:pPr>
            <w:r w:rsidRPr="00AD3A49">
              <w:rPr>
                <w:rFonts w:ascii="Times New Roman" w:eastAsia="Times New Roman" w:hAnsi="Times New Roman" w:cs="Times New Roman"/>
                <w:b/>
                <w:bCs/>
                <w:sz w:val="18"/>
                <w:szCs w:val="18"/>
                <w:lang w:eastAsia="fr-FR"/>
              </w:rPr>
              <w:t>R0020</w:t>
            </w:r>
          </w:p>
        </w:tc>
        <w:tc>
          <w:tcPr>
            <w:tcW w:w="1318" w:type="dxa"/>
            <w:tcBorders>
              <w:top w:val="nil"/>
              <w:left w:val="single" w:sz="4" w:space="0" w:color="auto"/>
              <w:bottom w:val="single" w:sz="4" w:space="0" w:color="auto"/>
              <w:right w:val="single" w:sz="4" w:space="0" w:color="auto"/>
            </w:tcBorders>
            <w:shd w:val="clear" w:color="auto" w:fill="auto"/>
            <w:vAlign w:val="bottom"/>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 </w:t>
            </w:r>
          </w:p>
        </w:tc>
        <w:tc>
          <w:tcPr>
            <w:tcW w:w="1107" w:type="dxa"/>
            <w:tcBorders>
              <w:top w:val="nil"/>
              <w:left w:val="single" w:sz="4" w:space="0" w:color="auto"/>
              <w:bottom w:val="single" w:sz="4" w:space="0" w:color="auto"/>
              <w:right w:val="single" w:sz="4" w:space="0" w:color="auto"/>
            </w:tcBorders>
            <w:shd w:val="clear" w:color="auto" w:fill="auto"/>
            <w:vAlign w:val="bottom"/>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 </w:t>
            </w:r>
          </w:p>
        </w:tc>
        <w:tc>
          <w:tcPr>
            <w:tcW w:w="1568" w:type="dxa"/>
            <w:tcBorders>
              <w:top w:val="nil"/>
              <w:left w:val="single" w:sz="4" w:space="0" w:color="auto"/>
              <w:bottom w:val="single" w:sz="4" w:space="0" w:color="auto"/>
              <w:right w:val="single" w:sz="4" w:space="0" w:color="auto"/>
            </w:tcBorders>
            <w:shd w:val="clear" w:color="auto" w:fill="auto"/>
            <w:vAlign w:val="bottom"/>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 </w:t>
            </w:r>
          </w:p>
        </w:tc>
        <w:tc>
          <w:tcPr>
            <w:tcW w:w="1110" w:type="dxa"/>
            <w:tcBorders>
              <w:top w:val="nil"/>
              <w:left w:val="single" w:sz="4" w:space="0" w:color="auto"/>
              <w:bottom w:val="single" w:sz="4" w:space="0" w:color="auto"/>
              <w:right w:val="single" w:sz="4" w:space="0" w:color="auto"/>
            </w:tcBorders>
            <w:shd w:val="clear" w:color="auto" w:fill="auto"/>
            <w:vAlign w:val="bottom"/>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 </w:t>
            </w:r>
          </w:p>
        </w:tc>
        <w:tc>
          <w:tcPr>
            <w:tcW w:w="850" w:type="dxa"/>
            <w:tcBorders>
              <w:top w:val="nil"/>
              <w:left w:val="single" w:sz="4" w:space="0" w:color="auto"/>
              <w:bottom w:val="single" w:sz="4" w:space="0" w:color="auto"/>
              <w:right w:val="single" w:sz="4" w:space="0" w:color="auto"/>
            </w:tcBorders>
            <w:shd w:val="clear" w:color="auto" w:fill="auto"/>
            <w:vAlign w:val="bottom"/>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 </w:t>
            </w:r>
          </w:p>
        </w:tc>
        <w:tc>
          <w:tcPr>
            <w:tcW w:w="1701" w:type="dxa"/>
            <w:tcBorders>
              <w:top w:val="nil"/>
              <w:left w:val="single" w:sz="4" w:space="0" w:color="auto"/>
              <w:bottom w:val="single" w:sz="4" w:space="0" w:color="auto"/>
              <w:right w:val="single" w:sz="4" w:space="0" w:color="auto"/>
            </w:tcBorders>
            <w:shd w:val="clear" w:color="auto" w:fill="auto"/>
            <w:vAlign w:val="bottom"/>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 </w:t>
            </w:r>
          </w:p>
        </w:tc>
        <w:tc>
          <w:tcPr>
            <w:tcW w:w="1985" w:type="dxa"/>
            <w:tcBorders>
              <w:top w:val="nil"/>
              <w:left w:val="single" w:sz="4" w:space="0" w:color="auto"/>
              <w:bottom w:val="single" w:sz="4" w:space="0" w:color="auto"/>
              <w:right w:val="single" w:sz="4" w:space="0" w:color="auto"/>
            </w:tcBorders>
            <w:shd w:val="clear" w:color="auto" w:fill="auto"/>
            <w:vAlign w:val="bottom"/>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 </w:t>
            </w:r>
          </w:p>
        </w:tc>
        <w:tc>
          <w:tcPr>
            <w:tcW w:w="1701" w:type="dxa"/>
            <w:tcBorders>
              <w:top w:val="nil"/>
              <w:left w:val="single" w:sz="4" w:space="0" w:color="auto"/>
              <w:bottom w:val="single" w:sz="4" w:space="0" w:color="auto"/>
              <w:right w:val="single" w:sz="4" w:space="0" w:color="auto"/>
            </w:tcBorders>
            <w:shd w:val="clear" w:color="auto" w:fill="auto"/>
            <w:vAlign w:val="bottom"/>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 </w:t>
            </w:r>
          </w:p>
        </w:tc>
      </w:tr>
      <w:tr w:rsidR="00153B0F" w:rsidRPr="00AD3A49" w:rsidTr="003564E8">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AD3A49" w:rsidRPr="00AD3A49" w:rsidRDefault="00AD3A49" w:rsidP="00AD3A49">
            <w:pPr>
              <w:spacing w:after="0" w:line="240" w:lineRule="auto"/>
              <w:ind w:firstLineChars="100" w:firstLine="220"/>
              <w:rPr>
                <w:rFonts w:ascii="Calibri" w:eastAsia="Times New Roman" w:hAnsi="Calibri" w:cs="Calibri"/>
                <w:lang w:eastAsia="fr-FR"/>
              </w:rPr>
            </w:pPr>
            <w:r w:rsidRPr="00AD3A49">
              <w:rPr>
                <w:rFonts w:ascii="Calibri" w:eastAsia="Times New Roman" w:hAnsi="Calibri" w:cs="Calibri"/>
                <w:lang w:eastAsia="fr-FR"/>
              </w:rPr>
              <w:t>En voie de liquidation</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AD3A49" w:rsidRPr="00AD3A49" w:rsidRDefault="00AD3A49" w:rsidP="00AD3A49">
            <w:pPr>
              <w:spacing w:after="0" w:line="240" w:lineRule="auto"/>
              <w:jc w:val="center"/>
              <w:rPr>
                <w:rFonts w:ascii="Times New Roman" w:eastAsia="Times New Roman" w:hAnsi="Times New Roman" w:cs="Times New Roman"/>
                <w:b/>
                <w:bCs/>
                <w:sz w:val="18"/>
                <w:szCs w:val="18"/>
                <w:lang w:eastAsia="fr-FR"/>
              </w:rPr>
            </w:pPr>
            <w:r w:rsidRPr="00AD3A49">
              <w:rPr>
                <w:rFonts w:ascii="Times New Roman" w:eastAsia="Times New Roman" w:hAnsi="Times New Roman" w:cs="Times New Roman"/>
                <w:b/>
                <w:bCs/>
                <w:sz w:val="18"/>
                <w:szCs w:val="18"/>
                <w:lang w:eastAsia="fr-FR"/>
              </w:rPr>
              <w:t>R0030</w:t>
            </w:r>
          </w:p>
        </w:tc>
        <w:tc>
          <w:tcPr>
            <w:tcW w:w="1318" w:type="dxa"/>
            <w:tcBorders>
              <w:top w:val="nil"/>
              <w:left w:val="single" w:sz="4" w:space="0" w:color="auto"/>
              <w:bottom w:val="single" w:sz="4" w:space="0" w:color="auto"/>
              <w:right w:val="single" w:sz="4" w:space="0" w:color="auto"/>
            </w:tcBorders>
            <w:shd w:val="clear" w:color="auto" w:fill="auto"/>
            <w:vAlign w:val="bottom"/>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 </w:t>
            </w:r>
          </w:p>
        </w:tc>
        <w:tc>
          <w:tcPr>
            <w:tcW w:w="1107" w:type="dxa"/>
            <w:tcBorders>
              <w:top w:val="nil"/>
              <w:left w:val="single" w:sz="4" w:space="0" w:color="auto"/>
              <w:bottom w:val="single" w:sz="4" w:space="0" w:color="auto"/>
              <w:right w:val="single" w:sz="4" w:space="0" w:color="auto"/>
            </w:tcBorders>
            <w:shd w:val="clear" w:color="auto" w:fill="auto"/>
            <w:vAlign w:val="bottom"/>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 </w:t>
            </w:r>
          </w:p>
        </w:tc>
        <w:tc>
          <w:tcPr>
            <w:tcW w:w="1568" w:type="dxa"/>
            <w:tcBorders>
              <w:top w:val="nil"/>
              <w:left w:val="single" w:sz="4" w:space="0" w:color="auto"/>
              <w:bottom w:val="single" w:sz="4" w:space="0" w:color="auto"/>
              <w:right w:val="single" w:sz="4" w:space="0" w:color="auto"/>
            </w:tcBorders>
            <w:shd w:val="clear" w:color="auto" w:fill="auto"/>
            <w:vAlign w:val="bottom"/>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 </w:t>
            </w:r>
          </w:p>
        </w:tc>
        <w:tc>
          <w:tcPr>
            <w:tcW w:w="1110" w:type="dxa"/>
            <w:tcBorders>
              <w:top w:val="nil"/>
              <w:left w:val="single" w:sz="4" w:space="0" w:color="auto"/>
              <w:bottom w:val="single" w:sz="4" w:space="0" w:color="auto"/>
              <w:right w:val="single" w:sz="4" w:space="0" w:color="auto"/>
            </w:tcBorders>
            <w:shd w:val="clear" w:color="auto" w:fill="auto"/>
            <w:vAlign w:val="bottom"/>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 </w:t>
            </w:r>
          </w:p>
        </w:tc>
        <w:tc>
          <w:tcPr>
            <w:tcW w:w="850" w:type="dxa"/>
            <w:tcBorders>
              <w:top w:val="nil"/>
              <w:left w:val="single" w:sz="4" w:space="0" w:color="auto"/>
              <w:bottom w:val="single" w:sz="4" w:space="0" w:color="auto"/>
              <w:right w:val="single" w:sz="4" w:space="0" w:color="auto"/>
            </w:tcBorders>
            <w:shd w:val="clear" w:color="auto" w:fill="auto"/>
            <w:vAlign w:val="bottom"/>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 </w:t>
            </w:r>
          </w:p>
        </w:tc>
        <w:tc>
          <w:tcPr>
            <w:tcW w:w="1701" w:type="dxa"/>
            <w:tcBorders>
              <w:top w:val="nil"/>
              <w:left w:val="single" w:sz="4" w:space="0" w:color="auto"/>
              <w:bottom w:val="single" w:sz="4" w:space="0" w:color="auto"/>
              <w:right w:val="single" w:sz="4" w:space="0" w:color="auto"/>
            </w:tcBorders>
            <w:shd w:val="clear" w:color="auto" w:fill="auto"/>
            <w:vAlign w:val="bottom"/>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 </w:t>
            </w:r>
          </w:p>
        </w:tc>
        <w:tc>
          <w:tcPr>
            <w:tcW w:w="1985" w:type="dxa"/>
            <w:tcBorders>
              <w:top w:val="nil"/>
              <w:left w:val="single" w:sz="4" w:space="0" w:color="auto"/>
              <w:bottom w:val="single" w:sz="4" w:space="0" w:color="auto"/>
              <w:right w:val="single" w:sz="4" w:space="0" w:color="auto"/>
            </w:tcBorders>
            <w:shd w:val="clear" w:color="auto" w:fill="auto"/>
            <w:vAlign w:val="bottom"/>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 </w:t>
            </w:r>
          </w:p>
        </w:tc>
        <w:tc>
          <w:tcPr>
            <w:tcW w:w="1701" w:type="dxa"/>
            <w:tcBorders>
              <w:top w:val="nil"/>
              <w:left w:val="single" w:sz="4" w:space="0" w:color="auto"/>
              <w:bottom w:val="single" w:sz="4" w:space="0" w:color="auto"/>
              <w:right w:val="single" w:sz="4" w:space="0" w:color="auto"/>
            </w:tcBorders>
            <w:shd w:val="clear" w:color="auto" w:fill="auto"/>
            <w:vAlign w:val="bottom"/>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 </w:t>
            </w:r>
          </w:p>
        </w:tc>
      </w:tr>
      <w:tr w:rsidR="003564E8" w:rsidRPr="00AD3A49" w:rsidTr="00153B0F">
        <w:trPr>
          <w:trHeight w:val="300"/>
        </w:trPr>
        <w:tc>
          <w:tcPr>
            <w:tcW w:w="2977" w:type="dxa"/>
            <w:tcBorders>
              <w:top w:val="nil"/>
              <w:left w:val="single" w:sz="4" w:space="0" w:color="auto"/>
              <w:bottom w:val="nil"/>
              <w:right w:val="nil"/>
            </w:tcBorders>
            <w:shd w:val="clear" w:color="auto" w:fill="auto"/>
            <w:noWrap/>
            <w:vAlign w:val="center"/>
            <w:hideMark/>
          </w:tcPr>
          <w:p w:rsidR="00AD3A49" w:rsidRPr="00AD3A49" w:rsidRDefault="00AD3A49" w:rsidP="00AD3A49">
            <w:pPr>
              <w:spacing w:after="0" w:line="240" w:lineRule="auto"/>
              <w:rPr>
                <w:rFonts w:ascii="Calibri" w:eastAsia="Times New Roman" w:hAnsi="Calibri" w:cs="Calibri"/>
                <w:lang w:eastAsia="fr-FR"/>
              </w:rPr>
            </w:pPr>
            <w:r w:rsidRPr="00AD3A49">
              <w:rPr>
                <w:rFonts w:ascii="Calibri" w:eastAsia="Times New Roman" w:hAnsi="Calibri" w:cs="Calibri"/>
                <w:lang w:eastAsia="fr-FR"/>
              </w:rPr>
              <w:t>Autres options d’investissement</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AD3A49" w:rsidRPr="00AD3A49" w:rsidRDefault="00AD3A49" w:rsidP="00AD3A49">
            <w:pPr>
              <w:spacing w:after="0" w:line="240" w:lineRule="auto"/>
              <w:jc w:val="center"/>
              <w:rPr>
                <w:rFonts w:ascii="Times New Roman" w:eastAsia="Times New Roman" w:hAnsi="Times New Roman" w:cs="Times New Roman"/>
                <w:b/>
                <w:bCs/>
                <w:sz w:val="18"/>
                <w:szCs w:val="18"/>
                <w:lang w:eastAsia="fr-FR"/>
              </w:rPr>
            </w:pPr>
            <w:r w:rsidRPr="00AD3A49">
              <w:rPr>
                <w:rFonts w:ascii="Times New Roman" w:eastAsia="Times New Roman" w:hAnsi="Times New Roman" w:cs="Times New Roman"/>
                <w:b/>
                <w:bCs/>
                <w:sz w:val="18"/>
                <w:szCs w:val="18"/>
                <w:lang w:eastAsia="fr-FR"/>
              </w:rPr>
              <w:t>R0040</w:t>
            </w:r>
          </w:p>
        </w:tc>
        <w:tc>
          <w:tcPr>
            <w:tcW w:w="1318" w:type="dxa"/>
            <w:tcBorders>
              <w:top w:val="nil"/>
              <w:left w:val="nil"/>
              <w:bottom w:val="single" w:sz="4" w:space="0" w:color="auto"/>
              <w:right w:val="single" w:sz="4" w:space="0" w:color="auto"/>
              <w:tl2br w:val="single" w:sz="4" w:space="0" w:color="auto"/>
              <w:tr2bl w:val="single" w:sz="4" w:space="0" w:color="auto"/>
            </w:tcBorders>
            <w:shd w:val="clear" w:color="auto" w:fill="auto"/>
            <w:noWrap/>
            <w:vAlign w:val="center"/>
            <w:hideMark/>
          </w:tcPr>
          <w:p w:rsidR="00AD3A49" w:rsidRPr="00AD3A49" w:rsidRDefault="00AD3A49" w:rsidP="00AD3A49">
            <w:pPr>
              <w:spacing w:after="0" w:line="240" w:lineRule="auto"/>
              <w:rPr>
                <w:rFonts w:ascii="Calibri" w:eastAsia="Times New Roman" w:hAnsi="Calibri" w:cs="Calibri"/>
                <w:color w:val="000000"/>
                <w:lang w:eastAsia="fr-FR"/>
              </w:rPr>
            </w:pPr>
            <w:r w:rsidRPr="00AD3A49">
              <w:rPr>
                <w:rFonts w:ascii="Calibri" w:eastAsia="Times New Roman" w:hAnsi="Calibri" w:cs="Calibri"/>
                <w:color w:val="000000"/>
                <w:lang w:eastAsia="fr-FR"/>
              </w:rPr>
              <w:t> </w:t>
            </w:r>
          </w:p>
        </w:tc>
        <w:tc>
          <w:tcPr>
            <w:tcW w:w="1107" w:type="dxa"/>
            <w:tcBorders>
              <w:top w:val="nil"/>
              <w:left w:val="nil"/>
              <w:bottom w:val="single" w:sz="4" w:space="0" w:color="auto"/>
              <w:right w:val="single" w:sz="4" w:space="0" w:color="auto"/>
              <w:tl2br w:val="single" w:sz="4" w:space="0" w:color="auto"/>
              <w:tr2bl w:val="single" w:sz="4" w:space="0" w:color="auto"/>
            </w:tcBorders>
            <w:shd w:val="clear" w:color="auto" w:fill="auto"/>
            <w:noWrap/>
            <w:vAlign w:val="center"/>
            <w:hideMark/>
          </w:tcPr>
          <w:p w:rsidR="00AD3A49" w:rsidRPr="00AD3A49" w:rsidRDefault="00AD3A49" w:rsidP="00AD3A49">
            <w:pPr>
              <w:spacing w:after="0" w:line="240" w:lineRule="auto"/>
              <w:rPr>
                <w:rFonts w:ascii="Calibri" w:eastAsia="Times New Roman" w:hAnsi="Calibri" w:cs="Calibri"/>
                <w:color w:val="000000"/>
                <w:lang w:eastAsia="fr-FR"/>
              </w:rPr>
            </w:pPr>
            <w:r w:rsidRPr="00AD3A49">
              <w:rPr>
                <w:rFonts w:ascii="Calibri" w:eastAsia="Times New Roman" w:hAnsi="Calibri" w:cs="Calibri"/>
                <w:color w:val="000000"/>
                <w:lang w:eastAsia="fr-FR"/>
              </w:rPr>
              <w:t> </w:t>
            </w:r>
          </w:p>
        </w:tc>
        <w:tc>
          <w:tcPr>
            <w:tcW w:w="1568" w:type="dxa"/>
            <w:tcBorders>
              <w:top w:val="nil"/>
              <w:left w:val="nil"/>
              <w:bottom w:val="single" w:sz="4" w:space="0" w:color="auto"/>
              <w:right w:val="single" w:sz="4" w:space="0" w:color="auto"/>
              <w:tl2br w:val="single" w:sz="4" w:space="0" w:color="auto"/>
              <w:tr2bl w:val="single" w:sz="4" w:space="0" w:color="auto"/>
            </w:tcBorders>
            <w:shd w:val="clear" w:color="auto" w:fill="auto"/>
            <w:noWrap/>
            <w:vAlign w:val="center"/>
            <w:hideMark/>
          </w:tcPr>
          <w:p w:rsidR="00AD3A49" w:rsidRPr="00AD3A49" w:rsidRDefault="00AD3A49" w:rsidP="00AD3A49">
            <w:pPr>
              <w:spacing w:after="0" w:line="240" w:lineRule="auto"/>
              <w:rPr>
                <w:rFonts w:ascii="Calibri" w:eastAsia="Times New Roman" w:hAnsi="Calibri" w:cs="Calibri"/>
                <w:color w:val="000000"/>
                <w:lang w:eastAsia="fr-FR"/>
              </w:rPr>
            </w:pPr>
            <w:r w:rsidRPr="00AD3A49">
              <w:rPr>
                <w:rFonts w:ascii="Calibri" w:eastAsia="Times New Roman" w:hAnsi="Calibri" w:cs="Calibri"/>
                <w:color w:val="000000"/>
                <w:lang w:eastAsia="fr-FR"/>
              </w:rPr>
              <w:t> </w:t>
            </w:r>
          </w:p>
        </w:tc>
        <w:tc>
          <w:tcPr>
            <w:tcW w:w="1110" w:type="dxa"/>
            <w:tcBorders>
              <w:top w:val="nil"/>
              <w:left w:val="nil"/>
              <w:bottom w:val="single" w:sz="4" w:space="0" w:color="auto"/>
              <w:right w:val="single" w:sz="4" w:space="0" w:color="auto"/>
              <w:tl2br w:val="single" w:sz="4" w:space="0" w:color="auto"/>
              <w:tr2bl w:val="single" w:sz="4" w:space="0" w:color="auto"/>
            </w:tcBorders>
            <w:shd w:val="clear" w:color="auto" w:fill="auto"/>
            <w:noWrap/>
            <w:vAlign w:val="center"/>
            <w:hideMark/>
          </w:tcPr>
          <w:p w:rsidR="00AD3A49" w:rsidRPr="00AD3A49" w:rsidRDefault="00AD3A49" w:rsidP="00AD3A49">
            <w:pPr>
              <w:spacing w:after="0" w:line="240" w:lineRule="auto"/>
              <w:rPr>
                <w:rFonts w:ascii="Calibri" w:eastAsia="Times New Roman" w:hAnsi="Calibri" w:cs="Calibri"/>
                <w:color w:val="000000"/>
                <w:lang w:eastAsia="fr-FR"/>
              </w:rPr>
            </w:pPr>
            <w:r w:rsidRPr="00AD3A49">
              <w:rPr>
                <w:rFonts w:ascii="Calibri" w:eastAsia="Times New Roman" w:hAnsi="Calibri" w:cs="Calibri"/>
                <w:color w:val="000000"/>
                <w:lang w:eastAsia="fr-FR"/>
              </w:rPr>
              <w:t> </w:t>
            </w:r>
          </w:p>
        </w:tc>
        <w:tc>
          <w:tcPr>
            <w:tcW w:w="850" w:type="dxa"/>
            <w:tcBorders>
              <w:top w:val="nil"/>
              <w:left w:val="nil"/>
              <w:bottom w:val="single" w:sz="4" w:space="0" w:color="auto"/>
              <w:right w:val="single" w:sz="4" w:space="0" w:color="auto"/>
              <w:tl2br w:val="single" w:sz="4" w:space="0" w:color="auto"/>
              <w:tr2bl w:val="single" w:sz="4" w:space="0" w:color="auto"/>
            </w:tcBorders>
            <w:shd w:val="clear" w:color="auto" w:fill="auto"/>
            <w:noWrap/>
            <w:vAlign w:val="center"/>
            <w:hideMark/>
          </w:tcPr>
          <w:p w:rsidR="00AD3A49" w:rsidRPr="00AD3A49" w:rsidRDefault="00AD3A49" w:rsidP="00AD3A49">
            <w:pPr>
              <w:spacing w:after="0" w:line="240" w:lineRule="auto"/>
              <w:rPr>
                <w:rFonts w:ascii="Calibri" w:eastAsia="Times New Roman" w:hAnsi="Calibri" w:cs="Calibri"/>
                <w:color w:val="000000"/>
                <w:lang w:eastAsia="fr-FR"/>
              </w:rPr>
            </w:pPr>
            <w:r w:rsidRPr="00AD3A49">
              <w:rPr>
                <w:rFonts w:ascii="Calibri" w:eastAsia="Times New Roman" w:hAnsi="Calibri" w:cs="Calibri"/>
                <w:color w:val="000000"/>
                <w:lang w:eastAsia="fr-FR"/>
              </w:rPr>
              <w:t> </w:t>
            </w:r>
          </w:p>
        </w:tc>
        <w:tc>
          <w:tcPr>
            <w:tcW w:w="1701" w:type="dxa"/>
            <w:tcBorders>
              <w:top w:val="nil"/>
              <w:left w:val="nil"/>
              <w:bottom w:val="single" w:sz="4" w:space="0" w:color="auto"/>
              <w:right w:val="single" w:sz="4" w:space="0" w:color="auto"/>
              <w:tl2br w:val="single" w:sz="4" w:space="0" w:color="auto"/>
              <w:tr2bl w:val="single" w:sz="4" w:space="0" w:color="auto"/>
            </w:tcBorders>
            <w:shd w:val="clear" w:color="auto" w:fill="auto"/>
            <w:noWrap/>
            <w:vAlign w:val="center"/>
            <w:hideMark/>
          </w:tcPr>
          <w:p w:rsidR="00AD3A49" w:rsidRPr="00AD3A49" w:rsidRDefault="00AD3A49" w:rsidP="00AD3A49">
            <w:pPr>
              <w:spacing w:after="0" w:line="240" w:lineRule="auto"/>
              <w:rPr>
                <w:rFonts w:ascii="Calibri" w:eastAsia="Times New Roman" w:hAnsi="Calibri" w:cs="Calibri"/>
                <w:color w:val="000000"/>
                <w:lang w:eastAsia="fr-FR"/>
              </w:rPr>
            </w:pPr>
            <w:r w:rsidRPr="00AD3A49">
              <w:rPr>
                <w:rFonts w:ascii="Calibri" w:eastAsia="Times New Roman" w:hAnsi="Calibri" w:cs="Calibri"/>
                <w:color w:val="000000"/>
                <w:lang w:eastAsia="fr-FR"/>
              </w:rPr>
              <w:t> </w:t>
            </w:r>
          </w:p>
        </w:tc>
        <w:tc>
          <w:tcPr>
            <w:tcW w:w="1985" w:type="dxa"/>
            <w:tcBorders>
              <w:top w:val="nil"/>
              <w:left w:val="nil"/>
              <w:bottom w:val="single" w:sz="4" w:space="0" w:color="auto"/>
              <w:right w:val="single" w:sz="4" w:space="0" w:color="auto"/>
              <w:tl2br w:val="single" w:sz="4" w:space="0" w:color="auto"/>
              <w:tr2bl w:val="single" w:sz="4" w:space="0" w:color="auto"/>
            </w:tcBorders>
            <w:shd w:val="clear" w:color="auto" w:fill="auto"/>
            <w:noWrap/>
            <w:vAlign w:val="center"/>
            <w:hideMark/>
          </w:tcPr>
          <w:p w:rsidR="00AD3A49" w:rsidRPr="00AD3A49" w:rsidRDefault="00AD3A49" w:rsidP="00AD3A49">
            <w:pPr>
              <w:spacing w:after="0" w:line="240" w:lineRule="auto"/>
              <w:rPr>
                <w:rFonts w:ascii="Calibri" w:eastAsia="Times New Roman" w:hAnsi="Calibri" w:cs="Calibri"/>
                <w:color w:val="000000"/>
                <w:lang w:eastAsia="fr-FR"/>
              </w:rPr>
            </w:pPr>
            <w:r w:rsidRPr="00AD3A49">
              <w:rPr>
                <w:rFonts w:ascii="Calibri" w:eastAsia="Times New Roman" w:hAnsi="Calibri" w:cs="Calibri"/>
                <w:color w:val="000000"/>
                <w:lang w:eastAsia="fr-FR"/>
              </w:rPr>
              <w:t> </w:t>
            </w:r>
          </w:p>
        </w:tc>
        <w:tc>
          <w:tcPr>
            <w:tcW w:w="1701" w:type="dxa"/>
            <w:tcBorders>
              <w:top w:val="nil"/>
              <w:left w:val="nil"/>
              <w:bottom w:val="single" w:sz="4" w:space="0" w:color="auto"/>
              <w:right w:val="single" w:sz="4" w:space="0" w:color="auto"/>
              <w:tl2br w:val="single" w:sz="4" w:space="0" w:color="auto"/>
              <w:tr2bl w:val="single" w:sz="4" w:space="0" w:color="auto"/>
            </w:tcBorders>
            <w:shd w:val="clear" w:color="auto" w:fill="auto"/>
            <w:noWrap/>
            <w:vAlign w:val="center"/>
            <w:hideMark/>
          </w:tcPr>
          <w:p w:rsidR="00AD3A49" w:rsidRPr="00AD3A49" w:rsidRDefault="00AD3A49" w:rsidP="00AD3A49">
            <w:pPr>
              <w:spacing w:after="0" w:line="240" w:lineRule="auto"/>
              <w:rPr>
                <w:rFonts w:ascii="Calibri" w:eastAsia="Times New Roman" w:hAnsi="Calibri" w:cs="Calibri"/>
                <w:color w:val="000000"/>
                <w:lang w:eastAsia="fr-FR"/>
              </w:rPr>
            </w:pPr>
            <w:r w:rsidRPr="00AD3A49">
              <w:rPr>
                <w:rFonts w:ascii="Calibri" w:eastAsia="Times New Roman" w:hAnsi="Calibri" w:cs="Calibri"/>
                <w:color w:val="000000"/>
                <w:lang w:eastAsia="fr-FR"/>
              </w:rPr>
              <w:t> </w:t>
            </w:r>
          </w:p>
        </w:tc>
      </w:tr>
      <w:tr w:rsidR="00153B0F" w:rsidRPr="00AD3A49" w:rsidTr="003564E8">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3A49" w:rsidRPr="00AD3A49" w:rsidRDefault="00AD3A49" w:rsidP="00AD3A49">
            <w:pPr>
              <w:spacing w:after="0" w:line="240" w:lineRule="auto"/>
              <w:ind w:firstLineChars="100" w:firstLine="220"/>
              <w:rPr>
                <w:rFonts w:ascii="Calibri" w:eastAsia="Times New Roman" w:hAnsi="Calibri" w:cs="Calibri"/>
                <w:lang w:eastAsia="fr-FR"/>
              </w:rPr>
            </w:pPr>
            <w:r w:rsidRPr="00AD3A49">
              <w:rPr>
                <w:rFonts w:ascii="Calibri" w:eastAsia="Times New Roman" w:hAnsi="Calibri" w:cs="Calibri"/>
                <w:lang w:eastAsia="fr-FR"/>
              </w:rPr>
              <w:t>Commercialisé dans le pays</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AD3A49" w:rsidRPr="00AD3A49" w:rsidRDefault="00AD3A49" w:rsidP="00AD3A49">
            <w:pPr>
              <w:spacing w:after="0" w:line="240" w:lineRule="auto"/>
              <w:jc w:val="center"/>
              <w:rPr>
                <w:rFonts w:ascii="Times New Roman" w:eastAsia="Times New Roman" w:hAnsi="Times New Roman" w:cs="Times New Roman"/>
                <w:b/>
                <w:bCs/>
                <w:sz w:val="18"/>
                <w:szCs w:val="18"/>
                <w:lang w:eastAsia="fr-FR"/>
              </w:rPr>
            </w:pPr>
            <w:r w:rsidRPr="00AD3A49">
              <w:rPr>
                <w:rFonts w:ascii="Times New Roman" w:eastAsia="Times New Roman" w:hAnsi="Times New Roman" w:cs="Times New Roman"/>
                <w:b/>
                <w:bCs/>
                <w:sz w:val="18"/>
                <w:szCs w:val="18"/>
                <w:lang w:eastAsia="fr-FR"/>
              </w:rPr>
              <w:t>R0050</w:t>
            </w:r>
          </w:p>
        </w:tc>
        <w:tc>
          <w:tcPr>
            <w:tcW w:w="1318" w:type="dxa"/>
            <w:tcBorders>
              <w:top w:val="nil"/>
              <w:left w:val="single" w:sz="4" w:space="0" w:color="auto"/>
              <w:bottom w:val="single" w:sz="4" w:space="0" w:color="auto"/>
              <w:right w:val="single" w:sz="4" w:space="0" w:color="auto"/>
            </w:tcBorders>
            <w:shd w:val="clear" w:color="auto" w:fill="auto"/>
            <w:vAlign w:val="bottom"/>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 </w:t>
            </w:r>
          </w:p>
        </w:tc>
        <w:tc>
          <w:tcPr>
            <w:tcW w:w="1107" w:type="dxa"/>
            <w:tcBorders>
              <w:top w:val="nil"/>
              <w:left w:val="single" w:sz="4" w:space="0" w:color="auto"/>
              <w:bottom w:val="single" w:sz="4" w:space="0" w:color="auto"/>
              <w:right w:val="single" w:sz="4" w:space="0" w:color="auto"/>
            </w:tcBorders>
            <w:shd w:val="clear" w:color="auto" w:fill="auto"/>
            <w:vAlign w:val="bottom"/>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 </w:t>
            </w:r>
          </w:p>
        </w:tc>
        <w:tc>
          <w:tcPr>
            <w:tcW w:w="1568" w:type="dxa"/>
            <w:tcBorders>
              <w:top w:val="nil"/>
              <w:left w:val="single" w:sz="4" w:space="0" w:color="auto"/>
              <w:bottom w:val="single" w:sz="4" w:space="0" w:color="auto"/>
              <w:right w:val="single" w:sz="4" w:space="0" w:color="auto"/>
            </w:tcBorders>
            <w:shd w:val="clear" w:color="auto" w:fill="auto"/>
            <w:vAlign w:val="bottom"/>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 </w:t>
            </w:r>
          </w:p>
        </w:tc>
        <w:tc>
          <w:tcPr>
            <w:tcW w:w="1110" w:type="dxa"/>
            <w:tcBorders>
              <w:top w:val="nil"/>
              <w:left w:val="single" w:sz="4" w:space="0" w:color="auto"/>
              <w:bottom w:val="single" w:sz="4" w:space="0" w:color="auto"/>
              <w:right w:val="single" w:sz="4" w:space="0" w:color="auto"/>
            </w:tcBorders>
            <w:shd w:val="clear" w:color="auto" w:fill="auto"/>
            <w:vAlign w:val="bottom"/>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 </w:t>
            </w:r>
          </w:p>
        </w:tc>
        <w:tc>
          <w:tcPr>
            <w:tcW w:w="850" w:type="dxa"/>
            <w:tcBorders>
              <w:top w:val="nil"/>
              <w:left w:val="single" w:sz="4" w:space="0" w:color="auto"/>
              <w:bottom w:val="single" w:sz="4" w:space="0" w:color="auto"/>
              <w:right w:val="single" w:sz="4" w:space="0" w:color="auto"/>
            </w:tcBorders>
            <w:shd w:val="clear" w:color="auto" w:fill="auto"/>
            <w:vAlign w:val="bottom"/>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 </w:t>
            </w:r>
          </w:p>
        </w:tc>
        <w:tc>
          <w:tcPr>
            <w:tcW w:w="1701" w:type="dxa"/>
            <w:tcBorders>
              <w:top w:val="nil"/>
              <w:left w:val="single" w:sz="4" w:space="0" w:color="auto"/>
              <w:bottom w:val="single" w:sz="4" w:space="0" w:color="auto"/>
              <w:right w:val="single" w:sz="4" w:space="0" w:color="auto"/>
            </w:tcBorders>
            <w:shd w:val="clear" w:color="auto" w:fill="auto"/>
            <w:vAlign w:val="bottom"/>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 </w:t>
            </w:r>
          </w:p>
        </w:tc>
        <w:tc>
          <w:tcPr>
            <w:tcW w:w="1985" w:type="dxa"/>
            <w:tcBorders>
              <w:top w:val="nil"/>
              <w:left w:val="single" w:sz="4" w:space="0" w:color="auto"/>
              <w:bottom w:val="single" w:sz="4" w:space="0" w:color="auto"/>
              <w:right w:val="single" w:sz="4" w:space="0" w:color="auto"/>
            </w:tcBorders>
            <w:shd w:val="clear" w:color="auto" w:fill="auto"/>
            <w:vAlign w:val="bottom"/>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 </w:t>
            </w:r>
          </w:p>
        </w:tc>
        <w:tc>
          <w:tcPr>
            <w:tcW w:w="1701" w:type="dxa"/>
            <w:tcBorders>
              <w:top w:val="nil"/>
              <w:left w:val="single" w:sz="4" w:space="0" w:color="auto"/>
              <w:bottom w:val="single" w:sz="4" w:space="0" w:color="auto"/>
              <w:right w:val="single" w:sz="4" w:space="0" w:color="auto"/>
            </w:tcBorders>
            <w:shd w:val="clear" w:color="auto" w:fill="auto"/>
            <w:vAlign w:val="bottom"/>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 </w:t>
            </w:r>
          </w:p>
        </w:tc>
      </w:tr>
      <w:tr w:rsidR="00153B0F" w:rsidRPr="00AD3A49" w:rsidTr="003564E8">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rsidR="00AD3A49" w:rsidRPr="00AD3A49" w:rsidRDefault="00AD3A49" w:rsidP="00AD3A49">
            <w:pPr>
              <w:spacing w:after="0" w:line="240" w:lineRule="auto"/>
              <w:ind w:firstLineChars="100" w:firstLine="220"/>
              <w:rPr>
                <w:rFonts w:ascii="Calibri" w:eastAsia="Times New Roman" w:hAnsi="Calibri" w:cs="Calibri"/>
                <w:lang w:eastAsia="fr-FR"/>
              </w:rPr>
            </w:pPr>
            <w:r w:rsidRPr="00AD3A49">
              <w:rPr>
                <w:rFonts w:ascii="Calibri" w:eastAsia="Times New Roman" w:hAnsi="Calibri" w:cs="Calibri"/>
                <w:lang w:eastAsia="fr-FR"/>
              </w:rPr>
              <w:t>En voie de liquidation</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AD3A49" w:rsidRPr="00AD3A49" w:rsidRDefault="00AD3A49" w:rsidP="00AD3A49">
            <w:pPr>
              <w:spacing w:after="0" w:line="240" w:lineRule="auto"/>
              <w:jc w:val="center"/>
              <w:rPr>
                <w:rFonts w:ascii="Times New Roman" w:eastAsia="Times New Roman" w:hAnsi="Times New Roman" w:cs="Times New Roman"/>
                <w:b/>
                <w:bCs/>
                <w:sz w:val="18"/>
                <w:szCs w:val="18"/>
                <w:lang w:eastAsia="fr-FR"/>
              </w:rPr>
            </w:pPr>
            <w:r w:rsidRPr="00AD3A49">
              <w:rPr>
                <w:rFonts w:ascii="Times New Roman" w:eastAsia="Times New Roman" w:hAnsi="Times New Roman" w:cs="Times New Roman"/>
                <w:b/>
                <w:bCs/>
                <w:sz w:val="18"/>
                <w:szCs w:val="18"/>
                <w:lang w:eastAsia="fr-FR"/>
              </w:rPr>
              <w:t>R0060</w:t>
            </w:r>
          </w:p>
        </w:tc>
        <w:tc>
          <w:tcPr>
            <w:tcW w:w="1318" w:type="dxa"/>
            <w:tcBorders>
              <w:top w:val="nil"/>
              <w:left w:val="single" w:sz="4" w:space="0" w:color="auto"/>
              <w:bottom w:val="single" w:sz="4" w:space="0" w:color="auto"/>
              <w:right w:val="single" w:sz="4" w:space="0" w:color="auto"/>
            </w:tcBorders>
            <w:shd w:val="clear" w:color="auto" w:fill="auto"/>
            <w:vAlign w:val="bottom"/>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 </w:t>
            </w:r>
          </w:p>
        </w:tc>
        <w:tc>
          <w:tcPr>
            <w:tcW w:w="1107" w:type="dxa"/>
            <w:tcBorders>
              <w:top w:val="nil"/>
              <w:left w:val="single" w:sz="4" w:space="0" w:color="auto"/>
              <w:bottom w:val="single" w:sz="4" w:space="0" w:color="auto"/>
              <w:right w:val="single" w:sz="4" w:space="0" w:color="auto"/>
            </w:tcBorders>
            <w:shd w:val="clear" w:color="auto" w:fill="auto"/>
            <w:vAlign w:val="bottom"/>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 </w:t>
            </w:r>
          </w:p>
        </w:tc>
        <w:tc>
          <w:tcPr>
            <w:tcW w:w="1568" w:type="dxa"/>
            <w:tcBorders>
              <w:top w:val="nil"/>
              <w:left w:val="single" w:sz="4" w:space="0" w:color="auto"/>
              <w:bottom w:val="single" w:sz="4" w:space="0" w:color="auto"/>
              <w:right w:val="single" w:sz="4" w:space="0" w:color="auto"/>
            </w:tcBorders>
            <w:shd w:val="clear" w:color="auto" w:fill="auto"/>
            <w:vAlign w:val="bottom"/>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 </w:t>
            </w:r>
          </w:p>
        </w:tc>
        <w:tc>
          <w:tcPr>
            <w:tcW w:w="1110" w:type="dxa"/>
            <w:tcBorders>
              <w:top w:val="nil"/>
              <w:left w:val="single" w:sz="4" w:space="0" w:color="auto"/>
              <w:bottom w:val="single" w:sz="4" w:space="0" w:color="auto"/>
              <w:right w:val="single" w:sz="4" w:space="0" w:color="auto"/>
            </w:tcBorders>
            <w:shd w:val="clear" w:color="auto" w:fill="auto"/>
            <w:vAlign w:val="bottom"/>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 </w:t>
            </w:r>
          </w:p>
        </w:tc>
        <w:tc>
          <w:tcPr>
            <w:tcW w:w="850" w:type="dxa"/>
            <w:tcBorders>
              <w:top w:val="nil"/>
              <w:left w:val="single" w:sz="4" w:space="0" w:color="auto"/>
              <w:bottom w:val="single" w:sz="4" w:space="0" w:color="auto"/>
              <w:right w:val="single" w:sz="4" w:space="0" w:color="auto"/>
            </w:tcBorders>
            <w:shd w:val="clear" w:color="auto" w:fill="auto"/>
            <w:vAlign w:val="bottom"/>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 </w:t>
            </w:r>
          </w:p>
        </w:tc>
        <w:tc>
          <w:tcPr>
            <w:tcW w:w="1701" w:type="dxa"/>
            <w:tcBorders>
              <w:top w:val="nil"/>
              <w:left w:val="single" w:sz="4" w:space="0" w:color="auto"/>
              <w:bottom w:val="single" w:sz="4" w:space="0" w:color="auto"/>
              <w:right w:val="single" w:sz="4" w:space="0" w:color="auto"/>
            </w:tcBorders>
            <w:shd w:val="clear" w:color="auto" w:fill="auto"/>
            <w:vAlign w:val="bottom"/>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 </w:t>
            </w:r>
          </w:p>
        </w:tc>
        <w:tc>
          <w:tcPr>
            <w:tcW w:w="1985" w:type="dxa"/>
            <w:tcBorders>
              <w:top w:val="nil"/>
              <w:left w:val="single" w:sz="4" w:space="0" w:color="auto"/>
              <w:bottom w:val="single" w:sz="4" w:space="0" w:color="auto"/>
              <w:right w:val="single" w:sz="4" w:space="0" w:color="auto"/>
            </w:tcBorders>
            <w:shd w:val="clear" w:color="auto" w:fill="auto"/>
            <w:vAlign w:val="bottom"/>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 </w:t>
            </w:r>
          </w:p>
        </w:tc>
        <w:tc>
          <w:tcPr>
            <w:tcW w:w="1701" w:type="dxa"/>
            <w:tcBorders>
              <w:top w:val="nil"/>
              <w:left w:val="single" w:sz="4" w:space="0" w:color="auto"/>
              <w:bottom w:val="single" w:sz="4" w:space="0" w:color="auto"/>
              <w:right w:val="single" w:sz="4" w:space="0" w:color="auto"/>
            </w:tcBorders>
            <w:shd w:val="clear" w:color="auto" w:fill="auto"/>
            <w:vAlign w:val="bottom"/>
            <w:hideMark/>
          </w:tcPr>
          <w:p w:rsidR="00AD3A49" w:rsidRPr="00AD3A49" w:rsidRDefault="00AD3A49" w:rsidP="00AD3A49">
            <w:pPr>
              <w:spacing w:after="0" w:line="240" w:lineRule="auto"/>
              <w:jc w:val="center"/>
              <w:rPr>
                <w:rFonts w:ascii="Calibri" w:eastAsia="Times New Roman" w:hAnsi="Calibri" w:cs="Calibri"/>
                <w:lang w:eastAsia="fr-FR"/>
              </w:rPr>
            </w:pPr>
            <w:r w:rsidRPr="00AD3A49">
              <w:rPr>
                <w:rFonts w:ascii="Calibri" w:eastAsia="Times New Roman" w:hAnsi="Calibri" w:cs="Calibri"/>
                <w:lang w:eastAsia="fr-FR"/>
              </w:rPr>
              <w:t> </w:t>
            </w:r>
          </w:p>
        </w:tc>
      </w:tr>
    </w:tbl>
    <w:p w:rsidR="00AD3A49" w:rsidRDefault="00AD3A49" w:rsidP="003564E8">
      <w:pPr>
        <w:spacing w:after="0" w:line="240" w:lineRule="auto"/>
        <w:rPr>
          <w:lang w:val="en-US"/>
        </w:rPr>
      </w:pPr>
    </w:p>
    <w:tbl>
      <w:tblPr>
        <w:tblW w:w="12120" w:type="dxa"/>
        <w:tblCellMar>
          <w:left w:w="70" w:type="dxa"/>
          <w:right w:w="70" w:type="dxa"/>
        </w:tblCellMar>
        <w:tblLook w:val="04A0" w:firstRow="1" w:lastRow="0" w:firstColumn="1" w:lastColumn="0" w:noHBand="0" w:noVBand="1"/>
      </w:tblPr>
      <w:tblGrid>
        <w:gridCol w:w="2020"/>
        <w:gridCol w:w="2020"/>
        <w:gridCol w:w="2020"/>
        <w:gridCol w:w="2020"/>
        <w:gridCol w:w="2020"/>
        <w:gridCol w:w="2020"/>
      </w:tblGrid>
      <w:tr w:rsidR="00153B0F" w:rsidRPr="00153B0F" w:rsidTr="00153B0F">
        <w:trPr>
          <w:trHeight w:val="300"/>
        </w:trPr>
        <w:tc>
          <w:tcPr>
            <w:tcW w:w="2020" w:type="dxa"/>
            <w:tcBorders>
              <w:top w:val="single" w:sz="4" w:space="0" w:color="auto"/>
              <w:left w:val="nil"/>
              <w:bottom w:val="single" w:sz="4" w:space="0" w:color="auto"/>
              <w:right w:val="nil"/>
            </w:tcBorders>
            <w:shd w:val="clear" w:color="auto" w:fill="auto"/>
            <w:noWrap/>
            <w:vAlign w:val="center"/>
            <w:hideMark/>
          </w:tcPr>
          <w:p w:rsidR="00153B0F" w:rsidRPr="00153B0F" w:rsidRDefault="00153B0F" w:rsidP="00153B0F">
            <w:pPr>
              <w:spacing w:after="0" w:line="240" w:lineRule="auto"/>
              <w:rPr>
                <w:rFonts w:ascii="Calibri" w:eastAsia="Times New Roman" w:hAnsi="Calibri" w:cs="Calibri"/>
                <w:b/>
                <w:bCs/>
                <w:color w:val="000000"/>
                <w:lang w:eastAsia="fr-FR"/>
              </w:rPr>
            </w:pPr>
            <w:r w:rsidRPr="00153B0F">
              <w:rPr>
                <w:rFonts w:ascii="Calibri" w:eastAsia="Times New Roman" w:hAnsi="Calibri" w:cs="Calibri"/>
                <w:b/>
                <w:bCs/>
                <w:color w:val="000000"/>
                <w:lang w:eastAsia="fr-FR"/>
              </w:rPr>
              <w:t> </w:t>
            </w:r>
          </w:p>
        </w:tc>
        <w:tc>
          <w:tcPr>
            <w:tcW w:w="2020" w:type="dxa"/>
            <w:tcBorders>
              <w:top w:val="single" w:sz="4" w:space="0" w:color="auto"/>
              <w:left w:val="nil"/>
              <w:bottom w:val="single" w:sz="4" w:space="0" w:color="auto"/>
              <w:right w:val="nil"/>
            </w:tcBorders>
            <w:shd w:val="clear" w:color="auto" w:fill="auto"/>
            <w:noWrap/>
            <w:vAlign w:val="center"/>
            <w:hideMark/>
          </w:tcPr>
          <w:p w:rsidR="00153B0F" w:rsidRPr="00153B0F" w:rsidRDefault="00153B0F" w:rsidP="00153B0F">
            <w:pPr>
              <w:spacing w:after="0" w:line="240" w:lineRule="auto"/>
              <w:rPr>
                <w:rFonts w:ascii="Calibri" w:eastAsia="Times New Roman" w:hAnsi="Calibri" w:cs="Calibri"/>
                <w:b/>
                <w:bCs/>
                <w:color w:val="000000"/>
                <w:lang w:eastAsia="fr-FR"/>
              </w:rPr>
            </w:pPr>
            <w:r w:rsidRPr="00153B0F">
              <w:rPr>
                <w:rFonts w:ascii="Calibri" w:eastAsia="Times New Roman" w:hAnsi="Calibri" w:cs="Calibri"/>
                <w:b/>
                <w:bCs/>
                <w:color w:val="000000"/>
                <w:lang w:eastAsia="fr-FR"/>
              </w:rPr>
              <w:t> </w:t>
            </w:r>
          </w:p>
        </w:tc>
        <w:tc>
          <w:tcPr>
            <w:tcW w:w="2020" w:type="dxa"/>
            <w:tcBorders>
              <w:top w:val="single" w:sz="4" w:space="0" w:color="auto"/>
              <w:left w:val="nil"/>
              <w:bottom w:val="single" w:sz="4" w:space="0" w:color="auto"/>
              <w:right w:val="nil"/>
            </w:tcBorders>
            <w:shd w:val="clear" w:color="auto" w:fill="auto"/>
            <w:noWrap/>
            <w:vAlign w:val="center"/>
            <w:hideMark/>
          </w:tcPr>
          <w:p w:rsidR="00153B0F" w:rsidRPr="00153B0F" w:rsidRDefault="00153B0F" w:rsidP="00153B0F">
            <w:pPr>
              <w:spacing w:after="0" w:line="240" w:lineRule="auto"/>
              <w:rPr>
                <w:rFonts w:ascii="Calibri" w:eastAsia="Times New Roman" w:hAnsi="Calibri" w:cs="Calibri"/>
                <w:b/>
                <w:bCs/>
                <w:color w:val="000000"/>
                <w:lang w:eastAsia="fr-FR"/>
              </w:rPr>
            </w:pPr>
            <w:r w:rsidRPr="00153B0F">
              <w:rPr>
                <w:rFonts w:ascii="Calibri" w:eastAsia="Times New Roman" w:hAnsi="Calibri" w:cs="Calibri"/>
                <w:b/>
                <w:bCs/>
                <w:color w:val="000000"/>
                <w:lang w:eastAsia="fr-FR"/>
              </w:rPr>
              <w:t> </w:t>
            </w:r>
          </w:p>
        </w:tc>
        <w:tc>
          <w:tcPr>
            <w:tcW w:w="2020" w:type="dxa"/>
            <w:tcBorders>
              <w:top w:val="single" w:sz="4" w:space="0" w:color="auto"/>
              <w:left w:val="nil"/>
              <w:bottom w:val="single" w:sz="4" w:space="0" w:color="auto"/>
              <w:right w:val="nil"/>
            </w:tcBorders>
            <w:shd w:val="clear" w:color="auto" w:fill="auto"/>
            <w:noWrap/>
            <w:vAlign w:val="center"/>
            <w:hideMark/>
          </w:tcPr>
          <w:p w:rsidR="00153B0F" w:rsidRPr="00153B0F" w:rsidRDefault="00153B0F" w:rsidP="00153B0F">
            <w:pPr>
              <w:spacing w:after="0" w:line="240" w:lineRule="auto"/>
              <w:rPr>
                <w:rFonts w:ascii="Calibri" w:eastAsia="Times New Roman" w:hAnsi="Calibri" w:cs="Calibri"/>
                <w:b/>
                <w:bCs/>
                <w:color w:val="000000"/>
                <w:lang w:eastAsia="fr-FR"/>
              </w:rPr>
            </w:pPr>
            <w:r w:rsidRPr="00153B0F">
              <w:rPr>
                <w:rFonts w:ascii="Calibri" w:eastAsia="Times New Roman" w:hAnsi="Calibri" w:cs="Calibri"/>
                <w:b/>
                <w:bCs/>
                <w:color w:val="000000"/>
                <w:lang w:eastAsia="fr-FR"/>
              </w:rPr>
              <w:t> </w:t>
            </w:r>
          </w:p>
        </w:tc>
        <w:tc>
          <w:tcPr>
            <w:tcW w:w="2020" w:type="dxa"/>
            <w:tcBorders>
              <w:top w:val="single" w:sz="4" w:space="0" w:color="auto"/>
              <w:left w:val="nil"/>
              <w:bottom w:val="single" w:sz="4" w:space="0" w:color="auto"/>
              <w:right w:val="nil"/>
            </w:tcBorders>
            <w:shd w:val="clear" w:color="auto" w:fill="auto"/>
            <w:noWrap/>
            <w:vAlign w:val="center"/>
            <w:hideMark/>
          </w:tcPr>
          <w:p w:rsidR="00153B0F" w:rsidRPr="00153B0F" w:rsidRDefault="00153B0F" w:rsidP="00153B0F">
            <w:pPr>
              <w:spacing w:after="0" w:line="240" w:lineRule="auto"/>
              <w:rPr>
                <w:rFonts w:ascii="Calibri" w:eastAsia="Times New Roman" w:hAnsi="Calibri" w:cs="Calibri"/>
                <w:b/>
                <w:bCs/>
                <w:color w:val="000000"/>
                <w:lang w:eastAsia="fr-FR"/>
              </w:rPr>
            </w:pPr>
            <w:r w:rsidRPr="00153B0F">
              <w:rPr>
                <w:rFonts w:ascii="Calibri" w:eastAsia="Times New Roman" w:hAnsi="Calibri" w:cs="Calibri"/>
                <w:b/>
                <w:bCs/>
                <w:color w:val="000000"/>
                <w:lang w:eastAsia="fr-FR"/>
              </w:rPr>
              <w:t> </w:t>
            </w:r>
          </w:p>
        </w:tc>
        <w:tc>
          <w:tcPr>
            <w:tcW w:w="2020" w:type="dxa"/>
            <w:tcBorders>
              <w:top w:val="single" w:sz="4" w:space="0" w:color="auto"/>
              <w:left w:val="nil"/>
              <w:bottom w:val="single" w:sz="4" w:space="0" w:color="auto"/>
              <w:right w:val="nil"/>
            </w:tcBorders>
            <w:shd w:val="clear" w:color="auto" w:fill="auto"/>
            <w:noWrap/>
            <w:vAlign w:val="center"/>
            <w:hideMark/>
          </w:tcPr>
          <w:p w:rsidR="00153B0F" w:rsidRPr="00153B0F" w:rsidRDefault="00153B0F" w:rsidP="00153B0F">
            <w:pPr>
              <w:spacing w:after="0" w:line="240" w:lineRule="auto"/>
              <w:rPr>
                <w:rFonts w:ascii="Calibri" w:eastAsia="Times New Roman" w:hAnsi="Calibri" w:cs="Calibri"/>
                <w:b/>
                <w:bCs/>
                <w:color w:val="000000"/>
                <w:lang w:eastAsia="fr-FR"/>
              </w:rPr>
            </w:pPr>
            <w:r w:rsidRPr="00153B0F">
              <w:rPr>
                <w:rFonts w:ascii="Calibri" w:eastAsia="Times New Roman" w:hAnsi="Calibri" w:cs="Calibri"/>
                <w:b/>
                <w:bCs/>
                <w:color w:val="000000"/>
                <w:lang w:eastAsia="fr-FR"/>
              </w:rPr>
              <w:t> </w:t>
            </w:r>
          </w:p>
        </w:tc>
      </w:tr>
      <w:tr w:rsidR="00153B0F" w:rsidRPr="00153B0F" w:rsidTr="00153B0F">
        <w:trPr>
          <w:trHeight w:val="300"/>
        </w:trPr>
        <w:tc>
          <w:tcPr>
            <w:tcW w:w="2020" w:type="dxa"/>
            <w:tcBorders>
              <w:top w:val="single" w:sz="4" w:space="0" w:color="auto"/>
              <w:left w:val="nil"/>
              <w:bottom w:val="nil"/>
              <w:right w:val="single" w:sz="4" w:space="0" w:color="auto"/>
            </w:tcBorders>
            <w:shd w:val="clear" w:color="auto" w:fill="auto"/>
            <w:noWrap/>
            <w:vAlign w:val="center"/>
            <w:hideMark/>
          </w:tcPr>
          <w:p w:rsidR="00153B0F" w:rsidRPr="00153B0F" w:rsidRDefault="00153B0F" w:rsidP="00153B0F">
            <w:pPr>
              <w:spacing w:after="0" w:line="240" w:lineRule="auto"/>
              <w:rPr>
                <w:rFonts w:ascii="Calibri" w:eastAsia="Times New Roman" w:hAnsi="Calibri" w:cs="Calibri"/>
                <w:color w:val="000000"/>
                <w:lang w:eastAsia="fr-FR"/>
              </w:rPr>
            </w:pPr>
            <w:r w:rsidRPr="00153B0F">
              <w:rPr>
                <w:rFonts w:ascii="Calibri" w:eastAsia="Times New Roman" w:hAnsi="Calibri" w:cs="Calibri"/>
                <w:color w:val="000000"/>
                <w:lang w:eastAsia="fr-FR"/>
              </w:rPr>
              <w:t> </w:t>
            </w:r>
          </w:p>
        </w:tc>
        <w:tc>
          <w:tcPr>
            <w:tcW w:w="2020" w:type="dxa"/>
            <w:vMerge w:val="restart"/>
            <w:tcBorders>
              <w:top w:val="nil"/>
              <w:left w:val="single" w:sz="4" w:space="0" w:color="auto"/>
              <w:bottom w:val="single" w:sz="4" w:space="0" w:color="000000"/>
              <w:right w:val="single" w:sz="4" w:space="0" w:color="auto"/>
            </w:tcBorders>
            <w:shd w:val="clear" w:color="auto" w:fill="auto"/>
            <w:vAlign w:val="center"/>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Nombre de notifications au titre de l’art. 20, par. 1, du règlement (</w:t>
            </w:r>
            <w:proofErr w:type="spellStart"/>
            <w:r w:rsidRPr="00153B0F">
              <w:rPr>
                <w:rFonts w:ascii="Calibri" w:eastAsia="Times New Roman" w:hAnsi="Calibri" w:cs="Calibri"/>
                <w:lang w:eastAsia="fr-FR"/>
              </w:rPr>
              <w:t>ue</w:t>
            </w:r>
            <w:proofErr w:type="spellEnd"/>
            <w:r w:rsidRPr="00153B0F">
              <w:rPr>
                <w:rFonts w:ascii="Calibri" w:eastAsia="Times New Roman" w:hAnsi="Calibri" w:cs="Calibri"/>
                <w:lang w:eastAsia="fr-FR"/>
              </w:rPr>
              <w:t>) 2019/1238 reçues d’épargnants PEPP qui se sont installés dans un autre état membre</w:t>
            </w:r>
          </w:p>
        </w:tc>
        <w:tc>
          <w:tcPr>
            <w:tcW w:w="2020" w:type="dxa"/>
            <w:vMerge w:val="restart"/>
            <w:tcBorders>
              <w:top w:val="nil"/>
              <w:left w:val="single" w:sz="4" w:space="0" w:color="auto"/>
              <w:bottom w:val="single" w:sz="4" w:space="0" w:color="000000"/>
              <w:right w:val="single" w:sz="4" w:space="0" w:color="auto"/>
            </w:tcBorders>
            <w:shd w:val="clear" w:color="auto" w:fill="auto"/>
            <w:vAlign w:val="center"/>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xml:space="preserve">Nombre de demandes d’ouverture d’un </w:t>
            </w:r>
            <w:proofErr w:type="spellStart"/>
            <w:r w:rsidRPr="00153B0F">
              <w:rPr>
                <w:rFonts w:ascii="Calibri" w:eastAsia="Times New Roman" w:hAnsi="Calibri" w:cs="Calibri"/>
                <w:lang w:eastAsia="fr-FR"/>
              </w:rPr>
              <w:t>sous-compte</w:t>
            </w:r>
            <w:proofErr w:type="spellEnd"/>
            <w:r w:rsidRPr="00153B0F">
              <w:rPr>
                <w:rFonts w:ascii="Calibri" w:eastAsia="Times New Roman" w:hAnsi="Calibri" w:cs="Calibri"/>
                <w:lang w:eastAsia="fr-FR"/>
              </w:rPr>
              <w:t xml:space="preserve"> en vertu de l’Art. 20, Art. 2, du Règlement (UE) 2019/1238</w:t>
            </w:r>
          </w:p>
        </w:tc>
        <w:tc>
          <w:tcPr>
            <w:tcW w:w="2020" w:type="dxa"/>
            <w:vMerge w:val="restart"/>
            <w:tcBorders>
              <w:top w:val="nil"/>
              <w:left w:val="single" w:sz="4" w:space="0" w:color="auto"/>
              <w:bottom w:val="single" w:sz="4" w:space="0" w:color="000000"/>
              <w:right w:val="single" w:sz="4" w:space="0" w:color="auto"/>
            </w:tcBorders>
            <w:shd w:val="clear" w:color="auto" w:fill="auto"/>
            <w:vAlign w:val="center"/>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xml:space="preserve">Nombre de </w:t>
            </w:r>
            <w:proofErr w:type="spellStart"/>
            <w:r w:rsidRPr="00153B0F">
              <w:rPr>
                <w:rFonts w:ascii="Calibri" w:eastAsia="Times New Roman" w:hAnsi="Calibri" w:cs="Calibri"/>
                <w:lang w:eastAsia="fr-FR"/>
              </w:rPr>
              <w:t>sous-comptes</w:t>
            </w:r>
            <w:proofErr w:type="spellEnd"/>
            <w:r w:rsidRPr="00153B0F">
              <w:rPr>
                <w:rFonts w:ascii="Calibri" w:eastAsia="Times New Roman" w:hAnsi="Calibri" w:cs="Calibri"/>
                <w:lang w:eastAsia="fr-FR"/>
              </w:rPr>
              <w:t xml:space="preserve"> ouverts en vertu de l’Art. 20, par. 2, du Règlement (UE) 2019/1238</w:t>
            </w:r>
          </w:p>
        </w:tc>
        <w:tc>
          <w:tcPr>
            <w:tcW w:w="2020" w:type="dxa"/>
            <w:vMerge w:val="restart"/>
            <w:tcBorders>
              <w:top w:val="nil"/>
              <w:left w:val="single" w:sz="4" w:space="0" w:color="auto"/>
              <w:bottom w:val="single" w:sz="4" w:space="0" w:color="000000"/>
              <w:right w:val="single" w:sz="4" w:space="0" w:color="auto"/>
            </w:tcBorders>
            <w:shd w:val="clear" w:color="auto" w:fill="auto"/>
            <w:vAlign w:val="center"/>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Nombre d’épargnants PEPP ayant demandé à changer de fournisseur en vertu de l’Art. 20, par. 5, point A), du Règlement (UE) 2019/1238</w:t>
            </w:r>
          </w:p>
        </w:tc>
        <w:tc>
          <w:tcPr>
            <w:tcW w:w="2020" w:type="dxa"/>
            <w:vMerge w:val="restart"/>
            <w:tcBorders>
              <w:top w:val="nil"/>
              <w:left w:val="single" w:sz="4" w:space="0" w:color="auto"/>
              <w:bottom w:val="single" w:sz="4" w:space="0" w:color="000000"/>
              <w:right w:val="single" w:sz="4" w:space="0" w:color="auto"/>
            </w:tcBorders>
            <w:shd w:val="clear" w:color="auto" w:fill="auto"/>
            <w:vAlign w:val="center"/>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Transferts effectués en vertu de l’Art. 20, par. 5, point A), du Règlement (UE) 2019/1238</w:t>
            </w:r>
          </w:p>
        </w:tc>
      </w:tr>
      <w:tr w:rsidR="00153B0F" w:rsidRPr="00153B0F" w:rsidTr="00153B0F">
        <w:trPr>
          <w:trHeight w:val="300"/>
        </w:trPr>
        <w:tc>
          <w:tcPr>
            <w:tcW w:w="20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Prestations autres que de retraite</w:t>
            </w:r>
          </w:p>
        </w:tc>
        <w:tc>
          <w:tcPr>
            <w:tcW w:w="2020" w:type="dxa"/>
            <w:vMerge/>
            <w:tcBorders>
              <w:top w:val="nil"/>
              <w:left w:val="single" w:sz="4" w:space="0" w:color="auto"/>
              <w:bottom w:val="single" w:sz="4" w:space="0" w:color="000000"/>
              <w:right w:val="single" w:sz="4" w:space="0" w:color="auto"/>
            </w:tcBorders>
            <w:vAlign w:val="center"/>
            <w:hideMark/>
          </w:tcPr>
          <w:p w:rsidR="00153B0F" w:rsidRPr="00153B0F" w:rsidRDefault="00153B0F" w:rsidP="00153B0F">
            <w:pPr>
              <w:spacing w:after="0" w:line="240" w:lineRule="auto"/>
              <w:rPr>
                <w:rFonts w:ascii="Calibri" w:eastAsia="Times New Roman" w:hAnsi="Calibri" w:cs="Calibri"/>
                <w:lang w:eastAsia="fr-FR"/>
              </w:rPr>
            </w:pPr>
          </w:p>
        </w:tc>
        <w:tc>
          <w:tcPr>
            <w:tcW w:w="2020" w:type="dxa"/>
            <w:vMerge/>
            <w:tcBorders>
              <w:top w:val="nil"/>
              <w:left w:val="single" w:sz="4" w:space="0" w:color="auto"/>
              <w:bottom w:val="single" w:sz="4" w:space="0" w:color="000000"/>
              <w:right w:val="single" w:sz="4" w:space="0" w:color="auto"/>
            </w:tcBorders>
            <w:vAlign w:val="center"/>
            <w:hideMark/>
          </w:tcPr>
          <w:p w:rsidR="00153B0F" w:rsidRPr="00153B0F" w:rsidRDefault="00153B0F" w:rsidP="00153B0F">
            <w:pPr>
              <w:spacing w:after="0" w:line="240" w:lineRule="auto"/>
              <w:rPr>
                <w:rFonts w:ascii="Calibri" w:eastAsia="Times New Roman" w:hAnsi="Calibri" w:cs="Calibri"/>
                <w:lang w:eastAsia="fr-FR"/>
              </w:rPr>
            </w:pPr>
          </w:p>
        </w:tc>
        <w:tc>
          <w:tcPr>
            <w:tcW w:w="2020" w:type="dxa"/>
            <w:vMerge/>
            <w:tcBorders>
              <w:top w:val="nil"/>
              <w:left w:val="single" w:sz="4" w:space="0" w:color="auto"/>
              <w:bottom w:val="single" w:sz="4" w:space="0" w:color="000000"/>
              <w:right w:val="single" w:sz="4" w:space="0" w:color="auto"/>
            </w:tcBorders>
            <w:vAlign w:val="center"/>
            <w:hideMark/>
          </w:tcPr>
          <w:p w:rsidR="00153B0F" w:rsidRPr="00153B0F" w:rsidRDefault="00153B0F" w:rsidP="00153B0F">
            <w:pPr>
              <w:spacing w:after="0" w:line="240" w:lineRule="auto"/>
              <w:rPr>
                <w:rFonts w:ascii="Calibri" w:eastAsia="Times New Roman" w:hAnsi="Calibri" w:cs="Calibri"/>
                <w:lang w:eastAsia="fr-FR"/>
              </w:rPr>
            </w:pPr>
          </w:p>
        </w:tc>
        <w:tc>
          <w:tcPr>
            <w:tcW w:w="2020" w:type="dxa"/>
            <w:vMerge/>
            <w:tcBorders>
              <w:top w:val="nil"/>
              <w:left w:val="single" w:sz="4" w:space="0" w:color="auto"/>
              <w:bottom w:val="single" w:sz="4" w:space="0" w:color="000000"/>
              <w:right w:val="single" w:sz="4" w:space="0" w:color="auto"/>
            </w:tcBorders>
            <w:vAlign w:val="center"/>
            <w:hideMark/>
          </w:tcPr>
          <w:p w:rsidR="00153B0F" w:rsidRPr="00153B0F" w:rsidRDefault="00153B0F" w:rsidP="00153B0F">
            <w:pPr>
              <w:spacing w:after="0" w:line="240" w:lineRule="auto"/>
              <w:rPr>
                <w:rFonts w:ascii="Calibri" w:eastAsia="Times New Roman" w:hAnsi="Calibri" w:cs="Calibri"/>
                <w:lang w:eastAsia="fr-FR"/>
              </w:rPr>
            </w:pPr>
          </w:p>
        </w:tc>
        <w:tc>
          <w:tcPr>
            <w:tcW w:w="2020" w:type="dxa"/>
            <w:vMerge/>
            <w:tcBorders>
              <w:top w:val="nil"/>
              <w:left w:val="single" w:sz="4" w:space="0" w:color="auto"/>
              <w:bottom w:val="single" w:sz="4" w:space="0" w:color="000000"/>
              <w:right w:val="single" w:sz="4" w:space="0" w:color="auto"/>
            </w:tcBorders>
            <w:vAlign w:val="center"/>
            <w:hideMark/>
          </w:tcPr>
          <w:p w:rsidR="00153B0F" w:rsidRPr="00153B0F" w:rsidRDefault="00153B0F" w:rsidP="00153B0F">
            <w:pPr>
              <w:spacing w:after="0" w:line="240" w:lineRule="auto"/>
              <w:rPr>
                <w:rFonts w:ascii="Calibri" w:eastAsia="Times New Roman" w:hAnsi="Calibri" w:cs="Calibri"/>
                <w:lang w:eastAsia="fr-FR"/>
              </w:rPr>
            </w:pPr>
          </w:p>
        </w:tc>
      </w:tr>
      <w:tr w:rsidR="00153B0F" w:rsidRPr="00153B0F" w:rsidTr="00153B0F">
        <w:trPr>
          <w:trHeight w:val="900"/>
        </w:trPr>
        <w:tc>
          <w:tcPr>
            <w:tcW w:w="2020" w:type="dxa"/>
            <w:vMerge/>
            <w:tcBorders>
              <w:top w:val="single" w:sz="4" w:space="0" w:color="auto"/>
              <w:left w:val="single" w:sz="4" w:space="0" w:color="auto"/>
              <w:bottom w:val="single" w:sz="4" w:space="0" w:color="000000"/>
              <w:right w:val="single" w:sz="4" w:space="0" w:color="auto"/>
            </w:tcBorders>
            <w:vAlign w:val="center"/>
            <w:hideMark/>
          </w:tcPr>
          <w:p w:rsidR="00153B0F" w:rsidRPr="00153B0F" w:rsidRDefault="00153B0F" w:rsidP="00153B0F">
            <w:pPr>
              <w:spacing w:after="0" w:line="240" w:lineRule="auto"/>
              <w:rPr>
                <w:rFonts w:ascii="Calibri" w:eastAsia="Times New Roman" w:hAnsi="Calibri" w:cs="Calibri"/>
                <w:lang w:eastAsia="fr-FR"/>
              </w:rPr>
            </w:pPr>
          </w:p>
        </w:tc>
        <w:tc>
          <w:tcPr>
            <w:tcW w:w="2020" w:type="dxa"/>
            <w:vMerge/>
            <w:tcBorders>
              <w:top w:val="nil"/>
              <w:left w:val="single" w:sz="4" w:space="0" w:color="auto"/>
              <w:bottom w:val="single" w:sz="4" w:space="0" w:color="000000"/>
              <w:right w:val="single" w:sz="4" w:space="0" w:color="auto"/>
            </w:tcBorders>
            <w:vAlign w:val="center"/>
            <w:hideMark/>
          </w:tcPr>
          <w:p w:rsidR="00153B0F" w:rsidRPr="00153B0F" w:rsidRDefault="00153B0F" w:rsidP="00153B0F">
            <w:pPr>
              <w:spacing w:after="0" w:line="240" w:lineRule="auto"/>
              <w:rPr>
                <w:rFonts w:ascii="Calibri" w:eastAsia="Times New Roman" w:hAnsi="Calibri" w:cs="Calibri"/>
                <w:lang w:eastAsia="fr-FR"/>
              </w:rPr>
            </w:pPr>
          </w:p>
        </w:tc>
        <w:tc>
          <w:tcPr>
            <w:tcW w:w="2020" w:type="dxa"/>
            <w:vMerge/>
            <w:tcBorders>
              <w:top w:val="nil"/>
              <w:left w:val="single" w:sz="4" w:space="0" w:color="auto"/>
              <w:bottom w:val="single" w:sz="4" w:space="0" w:color="000000"/>
              <w:right w:val="single" w:sz="4" w:space="0" w:color="auto"/>
            </w:tcBorders>
            <w:vAlign w:val="center"/>
            <w:hideMark/>
          </w:tcPr>
          <w:p w:rsidR="00153B0F" w:rsidRPr="00153B0F" w:rsidRDefault="00153B0F" w:rsidP="00153B0F">
            <w:pPr>
              <w:spacing w:after="0" w:line="240" w:lineRule="auto"/>
              <w:rPr>
                <w:rFonts w:ascii="Calibri" w:eastAsia="Times New Roman" w:hAnsi="Calibri" w:cs="Calibri"/>
                <w:lang w:eastAsia="fr-FR"/>
              </w:rPr>
            </w:pPr>
          </w:p>
        </w:tc>
        <w:tc>
          <w:tcPr>
            <w:tcW w:w="2020" w:type="dxa"/>
            <w:vMerge/>
            <w:tcBorders>
              <w:top w:val="nil"/>
              <w:left w:val="single" w:sz="4" w:space="0" w:color="auto"/>
              <w:bottom w:val="single" w:sz="4" w:space="0" w:color="000000"/>
              <w:right w:val="single" w:sz="4" w:space="0" w:color="auto"/>
            </w:tcBorders>
            <w:vAlign w:val="center"/>
            <w:hideMark/>
          </w:tcPr>
          <w:p w:rsidR="00153B0F" w:rsidRPr="00153B0F" w:rsidRDefault="00153B0F" w:rsidP="00153B0F">
            <w:pPr>
              <w:spacing w:after="0" w:line="240" w:lineRule="auto"/>
              <w:rPr>
                <w:rFonts w:ascii="Calibri" w:eastAsia="Times New Roman" w:hAnsi="Calibri" w:cs="Calibri"/>
                <w:lang w:eastAsia="fr-FR"/>
              </w:rPr>
            </w:pPr>
          </w:p>
        </w:tc>
        <w:tc>
          <w:tcPr>
            <w:tcW w:w="2020" w:type="dxa"/>
            <w:vMerge/>
            <w:tcBorders>
              <w:top w:val="nil"/>
              <w:left w:val="single" w:sz="4" w:space="0" w:color="auto"/>
              <w:bottom w:val="single" w:sz="4" w:space="0" w:color="000000"/>
              <w:right w:val="single" w:sz="4" w:space="0" w:color="auto"/>
            </w:tcBorders>
            <w:vAlign w:val="center"/>
            <w:hideMark/>
          </w:tcPr>
          <w:p w:rsidR="00153B0F" w:rsidRPr="00153B0F" w:rsidRDefault="00153B0F" w:rsidP="00153B0F">
            <w:pPr>
              <w:spacing w:after="0" w:line="240" w:lineRule="auto"/>
              <w:rPr>
                <w:rFonts w:ascii="Calibri" w:eastAsia="Times New Roman" w:hAnsi="Calibri" w:cs="Calibri"/>
                <w:lang w:eastAsia="fr-FR"/>
              </w:rPr>
            </w:pPr>
          </w:p>
        </w:tc>
        <w:tc>
          <w:tcPr>
            <w:tcW w:w="2020" w:type="dxa"/>
            <w:vMerge/>
            <w:tcBorders>
              <w:top w:val="nil"/>
              <w:left w:val="single" w:sz="4" w:space="0" w:color="auto"/>
              <w:bottom w:val="single" w:sz="4" w:space="0" w:color="000000"/>
              <w:right w:val="single" w:sz="4" w:space="0" w:color="auto"/>
            </w:tcBorders>
            <w:vAlign w:val="center"/>
            <w:hideMark/>
          </w:tcPr>
          <w:p w:rsidR="00153B0F" w:rsidRPr="00153B0F" w:rsidRDefault="00153B0F" w:rsidP="00153B0F">
            <w:pPr>
              <w:spacing w:after="0" w:line="240" w:lineRule="auto"/>
              <w:rPr>
                <w:rFonts w:ascii="Calibri" w:eastAsia="Times New Roman" w:hAnsi="Calibri" w:cs="Calibri"/>
                <w:lang w:eastAsia="fr-FR"/>
              </w:rPr>
            </w:pPr>
          </w:p>
        </w:tc>
      </w:tr>
      <w:tr w:rsidR="00153B0F" w:rsidRPr="00153B0F" w:rsidTr="00153B0F">
        <w:trPr>
          <w:trHeight w:val="300"/>
        </w:trPr>
        <w:tc>
          <w:tcPr>
            <w:tcW w:w="2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3B0F" w:rsidRPr="00153B0F" w:rsidRDefault="00153B0F" w:rsidP="00153B0F">
            <w:pPr>
              <w:spacing w:after="0" w:line="240" w:lineRule="auto"/>
              <w:jc w:val="center"/>
              <w:rPr>
                <w:rFonts w:ascii="Times New Roman" w:eastAsia="Times New Roman" w:hAnsi="Times New Roman" w:cs="Times New Roman"/>
                <w:b/>
                <w:bCs/>
                <w:sz w:val="18"/>
                <w:szCs w:val="18"/>
                <w:lang w:eastAsia="fr-FR"/>
              </w:rPr>
            </w:pPr>
            <w:r w:rsidRPr="00153B0F">
              <w:rPr>
                <w:rFonts w:ascii="Times New Roman" w:eastAsia="Times New Roman" w:hAnsi="Times New Roman" w:cs="Times New Roman"/>
                <w:b/>
                <w:bCs/>
                <w:sz w:val="18"/>
                <w:szCs w:val="18"/>
                <w:lang w:eastAsia="fr-FR"/>
              </w:rPr>
              <w:t>C0240</w:t>
            </w:r>
          </w:p>
        </w:tc>
        <w:tc>
          <w:tcPr>
            <w:tcW w:w="2020" w:type="dxa"/>
            <w:tcBorders>
              <w:top w:val="single" w:sz="4" w:space="0" w:color="auto"/>
              <w:left w:val="nil"/>
              <w:bottom w:val="single" w:sz="4" w:space="0" w:color="auto"/>
              <w:right w:val="single" w:sz="4" w:space="0" w:color="auto"/>
            </w:tcBorders>
            <w:shd w:val="clear" w:color="auto" w:fill="auto"/>
            <w:noWrap/>
            <w:vAlign w:val="center"/>
            <w:hideMark/>
          </w:tcPr>
          <w:p w:rsidR="00153B0F" w:rsidRPr="00153B0F" w:rsidRDefault="00153B0F" w:rsidP="00153B0F">
            <w:pPr>
              <w:spacing w:after="0" w:line="240" w:lineRule="auto"/>
              <w:jc w:val="center"/>
              <w:rPr>
                <w:rFonts w:ascii="Times New Roman" w:eastAsia="Times New Roman" w:hAnsi="Times New Roman" w:cs="Times New Roman"/>
                <w:b/>
                <w:bCs/>
                <w:sz w:val="18"/>
                <w:szCs w:val="18"/>
                <w:lang w:eastAsia="fr-FR"/>
              </w:rPr>
            </w:pPr>
            <w:r w:rsidRPr="00153B0F">
              <w:rPr>
                <w:rFonts w:ascii="Times New Roman" w:eastAsia="Times New Roman" w:hAnsi="Times New Roman" w:cs="Times New Roman"/>
                <w:b/>
                <w:bCs/>
                <w:sz w:val="18"/>
                <w:szCs w:val="18"/>
                <w:lang w:eastAsia="fr-FR"/>
              </w:rPr>
              <w:t>C0250</w:t>
            </w:r>
          </w:p>
        </w:tc>
        <w:tc>
          <w:tcPr>
            <w:tcW w:w="2020" w:type="dxa"/>
            <w:tcBorders>
              <w:top w:val="single" w:sz="4" w:space="0" w:color="auto"/>
              <w:left w:val="nil"/>
              <w:bottom w:val="single" w:sz="4" w:space="0" w:color="auto"/>
              <w:right w:val="single" w:sz="4" w:space="0" w:color="auto"/>
            </w:tcBorders>
            <w:shd w:val="clear" w:color="auto" w:fill="auto"/>
            <w:noWrap/>
            <w:vAlign w:val="center"/>
            <w:hideMark/>
          </w:tcPr>
          <w:p w:rsidR="00153B0F" w:rsidRPr="00153B0F" w:rsidRDefault="00153B0F" w:rsidP="00153B0F">
            <w:pPr>
              <w:spacing w:after="0" w:line="240" w:lineRule="auto"/>
              <w:jc w:val="center"/>
              <w:rPr>
                <w:rFonts w:ascii="Times New Roman" w:eastAsia="Times New Roman" w:hAnsi="Times New Roman" w:cs="Times New Roman"/>
                <w:b/>
                <w:bCs/>
                <w:sz w:val="18"/>
                <w:szCs w:val="18"/>
                <w:lang w:eastAsia="fr-FR"/>
              </w:rPr>
            </w:pPr>
            <w:r w:rsidRPr="00153B0F">
              <w:rPr>
                <w:rFonts w:ascii="Times New Roman" w:eastAsia="Times New Roman" w:hAnsi="Times New Roman" w:cs="Times New Roman"/>
                <w:b/>
                <w:bCs/>
                <w:sz w:val="18"/>
                <w:szCs w:val="18"/>
                <w:lang w:eastAsia="fr-FR"/>
              </w:rPr>
              <w:t>C0260</w:t>
            </w:r>
          </w:p>
        </w:tc>
        <w:tc>
          <w:tcPr>
            <w:tcW w:w="2020" w:type="dxa"/>
            <w:tcBorders>
              <w:top w:val="single" w:sz="4" w:space="0" w:color="auto"/>
              <w:left w:val="nil"/>
              <w:bottom w:val="single" w:sz="4" w:space="0" w:color="auto"/>
              <w:right w:val="single" w:sz="4" w:space="0" w:color="auto"/>
            </w:tcBorders>
            <w:shd w:val="clear" w:color="auto" w:fill="auto"/>
            <w:noWrap/>
            <w:vAlign w:val="center"/>
            <w:hideMark/>
          </w:tcPr>
          <w:p w:rsidR="00153B0F" w:rsidRPr="00153B0F" w:rsidRDefault="00153B0F" w:rsidP="00153B0F">
            <w:pPr>
              <w:spacing w:after="0" w:line="240" w:lineRule="auto"/>
              <w:jc w:val="center"/>
              <w:rPr>
                <w:rFonts w:ascii="Times New Roman" w:eastAsia="Times New Roman" w:hAnsi="Times New Roman" w:cs="Times New Roman"/>
                <w:b/>
                <w:bCs/>
                <w:sz w:val="18"/>
                <w:szCs w:val="18"/>
                <w:lang w:eastAsia="fr-FR"/>
              </w:rPr>
            </w:pPr>
            <w:r w:rsidRPr="00153B0F">
              <w:rPr>
                <w:rFonts w:ascii="Times New Roman" w:eastAsia="Times New Roman" w:hAnsi="Times New Roman" w:cs="Times New Roman"/>
                <w:b/>
                <w:bCs/>
                <w:sz w:val="18"/>
                <w:szCs w:val="18"/>
                <w:lang w:eastAsia="fr-FR"/>
              </w:rPr>
              <w:t>C0270</w:t>
            </w:r>
          </w:p>
        </w:tc>
        <w:tc>
          <w:tcPr>
            <w:tcW w:w="2020" w:type="dxa"/>
            <w:tcBorders>
              <w:top w:val="single" w:sz="4" w:space="0" w:color="auto"/>
              <w:left w:val="nil"/>
              <w:bottom w:val="single" w:sz="4" w:space="0" w:color="auto"/>
              <w:right w:val="single" w:sz="4" w:space="0" w:color="auto"/>
            </w:tcBorders>
            <w:shd w:val="clear" w:color="auto" w:fill="auto"/>
            <w:noWrap/>
            <w:vAlign w:val="center"/>
            <w:hideMark/>
          </w:tcPr>
          <w:p w:rsidR="00153B0F" w:rsidRPr="00153B0F" w:rsidRDefault="00153B0F" w:rsidP="00153B0F">
            <w:pPr>
              <w:spacing w:after="0" w:line="240" w:lineRule="auto"/>
              <w:jc w:val="center"/>
              <w:rPr>
                <w:rFonts w:ascii="Times New Roman" w:eastAsia="Times New Roman" w:hAnsi="Times New Roman" w:cs="Times New Roman"/>
                <w:b/>
                <w:bCs/>
                <w:sz w:val="18"/>
                <w:szCs w:val="18"/>
                <w:lang w:eastAsia="fr-FR"/>
              </w:rPr>
            </w:pPr>
            <w:r w:rsidRPr="00153B0F">
              <w:rPr>
                <w:rFonts w:ascii="Times New Roman" w:eastAsia="Times New Roman" w:hAnsi="Times New Roman" w:cs="Times New Roman"/>
                <w:b/>
                <w:bCs/>
                <w:sz w:val="18"/>
                <w:szCs w:val="18"/>
                <w:lang w:eastAsia="fr-FR"/>
              </w:rPr>
              <w:t>C0280</w:t>
            </w:r>
          </w:p>
        </w:tc>
        <w:tc>
          <w:tcPr>
            <w:tcW w:w="2020" w:type="dxa"/>
            <w:tcBorders>
              <w:top w:val="single" w:sz="4" w:space="0" w:color="auto"/>
              <w:left w:val="nil"/>
              <w:bottom w:val="single" w:sz="4" w:space="0" w:color="auto"/>
              <w:right w:val="single" w:sz="4" w:space="0" w:color="auto"/>
            </w:tcBorders>
            <w:shd w:val="clear" w:color="auto" w:fill="auto"/>
            <w:noWrap/>
            <w:vAlign w:val="center"/>
            <w:hideMark/>
          </w:tcPr>
          <w:p w:rsidR="00153B0F" w:rsidRPr="00153B0F" w:rsidRDefault="00153B0F" w:rsidP="00153B0F">
            <w:pPr>
              <w:spacing w:after="0" w:line="240" w:lineRule="auto"/>
              <w:jc w:val="center"/>
              <w:rPr>
                <w:rFonts w:ascii="Times New Roman" w:eastAsia="Times New Roman" w:hAnsi="Times New Roman" w:cs="Times New Roman"/>
                <w:b/>
                <w:bCs/>
                <w:sz w:val="18"/>
                <w:szCs w:val="18"/>
                <w:lang w:eastAsia="fr-FR"/>
              </w:rPr>
            </w:pPr>
            <w:r w:rsidRPr="00153B0F">
              <w:rPr>
                <w:rFonts w:ascii="Times New Roman" w:eastAsia="Times New Roman" w:hAnsi="Times New Roman" w:cs="Times New Roman"/>
                <w:b/>
                <w:bCs/>
                <w:sz w:val="18"/>
                <w:szCs w:val="18"/>
                <w:lang w:eastAsia="fr-FR"/>
              </w:rPr>
              <w:t>C0290</w:t>
            </w:r>
          </w:p>
        </w:tc>
      </w:tr>
      <w:tr w:rsidR="00153B0F" w:rsidRPr="00153B0F" w:rsidTr="00153B0F">
        <w:trPr>
          <w:trHeight w:val="300"/>
        </w:trPr>
        <w:tc>
          <w:tcPr>
            <w:tcW w:w="202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noWrap/>
            <w:vAlign w:val="center"/>
            <w:hideMark/>
          </w:tcPr>
          <w:p w:rsidR="00153B0F" w:rsidRPr="00153B0F" w:rsidRDefault="00153B0F" w:rsidP="00153B0F">
            <w:pPr>
              <w:spacing w:after="0" w:line="240" w:lineRule="auto"/>
              <w:rPr>
                <w:rFonts w:ascii="Calibri" w:eastAsia="Times New Roman" w:hAnsi="Calibri" w:cs="Calibri"/>
                <w:color w:val="000000"/>
                <w:lang w:eastAsia="fr-FR"/>
              </w:rPr>
            </w:pPr>
            <w:r w:rsidRPr="00153B0F">
              <w:rPr>
                <w:rFonts w:ascii="Calibri" w:eastAsia="Times New Roman" w:hAnsi="Calibri" w:cs="Calibri"/>
                <w:color w:val="000000"/>
                <w:lang w:eastAsia="fr-FR"/>
              </w:rPr>
              <w:t> </w:t>
            </w:r>
          </w:p>
        </w:tc>
        <w:tc>
          <w:tcPr>
            <w:tcW w:w="202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hideMark/>
          </w:tcPr>
          <w:p w:rsidR="00153B0F" w:rsidRPr="00153B0F" w:rsidRDefault="00153B0F" w:rsidP="00153B0F">
            <w:pPr>
              <w:spacing w:after="0" w:line="240" w:lineRule="auto"/>
              <w:rPr>
                <w:rFonts w:ascii="Calibri" w:eastAsia="Times New Roman" w:hAnsi="Calibri" w:cs="Calibri"/>
                <w:color w:val="000000"/>
                <w:lang w:eastAsia="fr-FR"/>
              </w:rPr>
            </w:pPr>
            <w:r w:rsidRPr="00153B0F">
              <w:rPr>
                <w:rFonts w:ascii="Calibri" w:eastAsia="Times New Roman" w:hAnsi="Calibri" w:cs="Calibri"/>
                <w:color w:val="000000"/>
                <w:lang w:eastAsia="fr-FR"/>
              </w:rPr>
              <w:t> </w:t>
            </w:r>
          </w:p>
        </w:tc>
        <w:tc>
          <w:tcPr>
            <w:tcW w:w="202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hideMark/>
          </w:tcPr>
          <w:p w:rsidR="00153B0F" w:rsidRPr="00153B0F" w:rsidRDefault="00153B0F" w:rsidP="00153B0F">
            <w:pPr>
              <w:spacing w:after="0" w:line="240" w:lineRule="auto"/>
              <w:rPr>
                <w:rFonts w:ascii="Calibri" w:eastAsia="Times New Roman" w:hAnsi="Calibri" w:cs="Calibri"/>
                <w:color w:val="000000"/>
                <w:lang w:eastAsia="fr-FR"/>
              </w:rPr>
            </w:pPr>
            <w:r w:rsidRPr="00153B0F">
              <w:rPr>
                <w:rFonts w:ascii="Calibri" w:eastAsia="Times New Roman" w:hAnsi="Calibri" w:cs="Calibri"/>
                <w:color w:val="000000"/>
                <w:lang w:eastAsia="fr-FR"/>
              </w:rPr>
              <w:t> </w:t>
            </w:r>
          </w:p>
        </w:tc>
        <w:tc>
          <w:tcPr>
            <w:tcW w:w="202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hideMark/>
          </w:tcPr>
          <w:p w:rsidR="00153B0F" w:rsidRPr="00153B0F" w:rsidRDefault="00153B0F" w:rsidP="00153B0F">
            <w:pPr>
              <w:spacing w:after="0" w:line="240" w:lineRule="auto"/>
              <w:rPr>
                <w:rFonts w:ascii="Calibri" w:eastAsia="Times New Roman" w:hAnsi="Calibri" w:cs="Calibri"/>
                <w:color w:val="000000"/>
                <w:lang w:eastAsia="fr-FR"/>
              </w:rPr>
            </w:pPr>
            <w:r w:rsidRPr="00153B0F">
              <w:rPr>
                <w:rFonts w:ascii="Calibri" w:eastAsia="Times New Roman" w:hAnsi="Calibri" w:cs="Calibri"/>
                <w:color w:val="000000"/>
                <w:lang w:eastAsia="fr-FR"/>
              </w:rPr>
              <w:t> </w:t>
            </w:r>
          </w:p>
        </w:tc>
        <w:tc>
          <w:tcPr>
            <w:tcW w:w="202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hideMark/>
          </w:tcPr>
          <w:p w:rsidR="00153B0F" w:rsidRPr="00153B0F" w:rsidRDefault="00153B0F" w:rsidP="00153B0F">
            <w:pPr>
              <w:spacing w:after="0" w:line="240" w:lineRule="auto"/>
              <w:rPr>
                <w:rFonts w:ascii="Calibri" w:eastAsia="Times New Roman" w:hAnsi="Calibri" w:cs="Calibri"/>
                <w:color w:val="000000"/>
                <w:lang w:eastAsia="fr-FR"/>
              </w:rPr>
            </w:pPr>
            <w:r w:rsidRPr="00153B0F">
              <w:rPr>
                <w:rFonts w:ascii="Calibri" w:eastAsia="Times New Roman" w:hAnsi="Calibri" w:cs="Calibri"/>
                <w:color w:val="000000"/>
                <w:lang w:eastAsia="fr-FR"/>
              </w:rPr>
              <w:t> </w:t>
            </w:r>
          </w:p>
        </w:tc>
        <w:tc>
          <w:tcPr>
            <w:tcW w:w="202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hideMark/>
          </w:tcPr>
          <w:p w:rsidR="00153B0F" w:rsidRPr="00153B0F" w:rsidRDefault="00153B0F" w:rsidP="00153B0F">
            <w:pPr>
              <w:spacing w:after="0" w:line="240" w:lineRule="auto"/>
              <w:rPr>
                <w:rFonts w:ascii="Calibri" w:eastAsia="Times New Roman" w:hAnsi="Calibri" w:cs="Calibri"/>
                <w:color w:val="000000"/>
                <w:lang w:eastAsia="fr-FR"/>
              </w:rPr>
            </w:pPr>
            <w:r w:rsidRPr="00153B0F">
              <w:rPr>
                <w:rFonts w:ascii="Calibri" w:eastAsia="Times New Roman" w:hAnsi="Calibri" w:cs="Calibri"/>
                <w:color w:val="000000"/>
                <w:lang w:eastAsia="fr-FR"/>
              </w:rPr>
              <w:t> </w:t>
            </w:r>
          </w:p>
        </w:tc>
      </w:tr>
      <w:tr w:rsidR="00153B0F" w:rsidRPr="00153B0F" w:rsidTr="00153B0F">
        <w:trPr>
          <w:trHeight w:val="300"/>
        </w:trPr>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r>
      <w:tr w:rsidR="00153B0F" w:rsidRPr="00153B0F" w:rsidTr="00153B0F">
        <w:trPr>
          <w:trHeight w:val="300"/>
        </w:trPr>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r>
      <w:tr w:rsidR="00153B0F" w:rsidRPr="00153B0F" w:rsidTr="00153B0F">
        <w:trPr>
          <w:trHeight w:val="300"/>
        </w:trPr>
        <w:tc>
          <w:tcPr>
            <w:tcW w:w="2020" w:type="dxa"/>
            <w:tcBorders>
              <w:top w:val="nil"/>
              <w:left w:val="single" w:sz="4" w:space="0" w:color="auto"/>
              <w:bottom w:val="single" w:sz="4" w:space="0" w:color="auto"/>
              <w:right w:val="single" w:sz="4" w:space="0" w:color="auto"/>
              <w:tl2br w:val="single" w:sz="4" w:space="0" w:color="auto"/>
              <w:tr2bl w:val="single" w:sz="4" w:space="0" w:color="auto"/>
            </w:tcBorders>
            <w:shd w:val="clear" w:color="auto" w:fill="auto"/>
            <w:noWrap/>
            <w:vAlign w:val="center"/>
            <w:hideMark/>
          </w:tcPr>
          <w:p w:rsidR="00153B0F" w:rsidRPr="00153B0F" w:rsidRDefault="00153B0F" w:rsidP="00153B0F">
            <w:pPr>
              <w:spacing w:after="0" w:line="240" w:lineRule="auto"/>
              <w:rPr>
                <w:rFonts w:ascii="Calibri" w:eastAsia="Times New Roman" w:hAnsi="Calibri" w:cs="Calibri"/>
                <w:color w:val="000000"/>
                <w:lang w:eastAsia="fr-FR"/>
              </w:rPr>
            </w:pPr>
            <w:r w:rsidRPr="00153B0F">
              <w:rPr>
                <w:rFonts w:ascii="Calibri" w:eastAsia="Times New Roman" w:hAnsi="Calibri" w:cs="Calibri"/>
                <w:color w:val="000000"/>
                <w:lang w:eastAsia="fr-FR"/>
              </w:rPr>
              <w:t> </w:t>
            </w:r>
          </w:p>
        </w:tc>
        <w:tc>
          <w:tcPr>
            <w:tcW w:w="2020" w:type="dxa"/>
            <w:tcBorders>
              <w:top w:val="nil"/>
              <w:left w:val="nil"/>
              <w:bottom w:val="single" w:sz="4" w:space="0" w:color="auto"/>
              <w:right w:val="single" w:sz="4" w:space="0" w:color="auto"/>
              <w:tl2br w:val="single" w:sz="4" w:space="0" w:color="auto"/>
              <w:tr2bl w:val="single" w:sz="4" w:space="0" w:color="auto"/>
            </w:tcBorders>
            <w:shd w:val="clear" w:color="auto" w:fill="auto"/>
            <w:noWrap/>
            <w:vAlign w:val="center"/>
            <w:hideMark/>
          </w:tcPr>
          <w:p w:rsidR="00153B0F" w:rsidRPr="00153B0F" w:rsidRDefault="00153B0F" w:rsidP="00153B0F">
            <w:pPr>
              <w:spacing w:after="0" w:line="240" w:lineRule="auto"/>
              <w:rPr>
                <w:rFonts w:ascii="Calibri" w:eastAsia="Times New Roman" w:hAnsi="Calibri" w:cs="Calibri"/>
                <w:color w:val="000000"/>
                <w:lang w:eastAsia="fr-FR"/>
              </w:rPr>
            </w:pPr>
            <w:r w:rsidRPr="00153B0F">
              <w:rPr>
                <w:rFonts w:ascii="Calibri" w:eastAsia="Times New Roman" w:hAnsi="Calibri" w:cs="Calibri"/>
                <w:color w:val="000000"/>
                <w:lang w:eastAsia="fr-FR"/>
              </w:rPr>
              <w:t> </w:t>
            </w:r>
          </w:p>
        </w:tc>
        <w:tc>
          <w:tcPr>
            <w:tcW w:w="2020" w:type="dxa"/>
            <w:tcBorders>
              <w:top w:val="nil"/>
              <w:left w:val="nil"/>
              <w:bottom w:val="single" w:sz="4" w:space="0" w:color="auto"/>
              <w:right w:val="single" w:sz="4" w:space="0" w:color="auto"/>
              <w:tl2br w:val="single" w:sz="4" w:space="0" w:color="auto"/>
              <w:tr2bl w:val="single" w:sz="4" w:space="0" w:color="auto"/>
            </w:tcBorders>
            <w:shd w:val="clear" w:color="auto" w:fill="auto"/>
            <w:noWrap/>
            <w:vAlign w:val="center"/>
            <w:hideMark/>
          </w:tcPr>
          <w:p w:rsidR="00153B0F" w:rsidRPr="00153B0F" w:rsidRDefault="00153B0F" w:rsidP="00153B0F">
            <w:pPr>
              <w:spacing w:after="0" w:line="240" w:lineRule="auto"/>
              <w:rPr>
                <w:rFonts w:ascii="Calibri" w:eastAsia="Times New Roman" w:hAnsi="Calibri" w:cs="Calibri"/>
                <w:color w:val="000000"/>
                <w:lang w:eastAsia="fr-FR"/>
              </w:rPr>
            </w:pPr>
            <w:r w:rsidRPr="00153B0F">
              <w:rPr>
                <w:rFonts w:ascii="Calibri" w:eastAsia="Times New Roman" w:hAnsi="Calibri" w:cs="Calibri"/>
                <w:color w:val="000000"/>
                <w:lang w:eastAsia="fr-FR"/>
              </w:rPr>
              <w:t> </w:t>
            </w:r>
          </w:p>
        </w:tc>
        <w:tc>
          <w:tcPr>
            <w:tcW w:w="2020" w:type="dxa"/>
            <w:tcBorders>
              <w:top w:val="nil"/>
              <w:left w:val="nil"/>
              <w:bottom w:val="single" w:sz="4" w:space="0" w:color="auto"/>
              <w:right w:val="single" w:sz="4" w:space="0" w:color="auto"/>
              <w:tl2br w:val="single" w:sz="4" w:space="0" w:color="auto"/>
              <w:tr2bl w:val="single" w:sz="4" w:space="0" w:color="auto"/>
            </w:tcBorders>
            <w:shd w:val="clear" w:color="auto" w:fill="auto"/>
            <w:noWrap/>
            <w:vAlign w:val="center"/>
            <w:hideMark/>
          </w:tcPr>
          <w:p w:rsidR="00153B0F" w:rsidRPr="00153B0F" w:rsidRDefault="00153B0F" w:rsidP="00153B0F">
            <w:pPr>
              <w:spacing w:after="0" w:line="240" w:lineRule="auto"/>
              <w:rPr>
                <w:rFonts w:ascii="Calibri" w:eastAsia="Times New Roman" w:hAnsi="Calibri" w:cs="Calibri"/>
                <w:color w:val="000000"/>
                <w:lang w:eastAsia="fr-FR"/>
              </w:rPr>
            </w:pPr>
            <w:r w:rsidRPr="00153B0F">
              <w:rPr>
                <w:rFonts w:ascii="Calibri" w:eastAsia="Times New Roman" w:hAnsi="Calibri" w:cs="Calibri"/>
                <w:color w:val="000000"/>
                <w:lang w:eastAsia="fr-FR"/>
              </w:rPr>
              <w:t> </w:t>
            </w:r>
          </w:p>
        </w:tc>
        <w:tc>
          <w:tcPr>
            <w:tcW w:w="2020" w:type="dxa"/>
            <w:tcBorders>
              <w:top w:val="nil"/>
              <w:left w:val="nil"/>
              <w:bottom w:val="single" w:sz="4" w:space="0" w:color="auto"/>
              <w:right w:val="single" w:sz="4" w:space="0" w:color="auto"/>
              <w:tl2br w:val="single" w:sz="4" w:space="0" w:color="auto"/>
              <w:tr2bl w:val="single" w:sz="4" w:space="0" w:color="auto"/>
            </w:tcBorders>
            <w:shd w:val="clear" w:color="auto" w:fill="auto"/>
            <w:noWrap/>
            <w:vAlign w:val="center"/>
            <w:hideMark/>
          </w:tcPr>
          <w:p w:rsidR="00153B0F" w:rsidRPr="00153B0F" w:rsidRDefault="00153B0F" w:rsidP="00153B0F">
            <w:pPr>
              <w:spacing w:after="0" w:line="240" w:lineRule="auto"/>
              <w:rPr>
                <w:rFonts w:ascii="Calibri" w:eastAsia="Times New Roman" w:hAnsi="Calibri" w:cs="Calibri"/>
                <w:color w:val="000000"/>
                <w:lang w:eastAsia="fr-FR"/>
              </w:rPr>
            </w:pPr>
            <w:r w:rsidRPr="00153B0F">
              <w:rPr>
                <w:rFonts w:ascii="Calibri" w:eastAsia="Times New Roman" w:hAnsi="Calibri" w:cs="Calibri"/>
                <w:color w:val="000000"/>
                <w:lang w:eastAsia="fr-FR"/>
              </w:rPr>
              <w:t> </w:t>
            </w:r>
          </w:p>
        </w:tc>
        <w:tc>
          <w:tcPr>
            <w:tcW w:w="2020" w:type="dxa"/>
            <w:tcBorders>
              <w:top w:val="nil"/>
              <w:left w:val="nil"/>
              <w:bottom w:val="single" w:sz="4" w:space="0" w:color="auto"/>
              <w:right w:val="single" w:sz="4" w:space="0" w:color="auto"/>
              <w:tl2br w:val="single" w:sz="4" w:space="0" w:color="auto"/>
              <w:tr2bl w:val="single" w:sz="4" w:space="0" w:color="auto"/>
            </w:tcBorders>
            <w:shd w:val="clear" w:color="auto" w:fill="auto"/>
            <w:noWrap/>
            <w:vAlign w:val="center"/>
            <w:hideMark/>
          </w:tcPr>
          <w:p w:rsidR="00153B0F" w:rsidRPr="00153B0F" w:rsidRDefault="00153B0F" w:rsidP="00153B0F">
            <w:pPr>
              <w:spacing w:after="0" w:line="240" w:lineRule="auto"/>
              <w:rPr>
                <w:rFonts w:ascii="Calibri" w:eastAsia="Times New Roman" w:hAnsi="Calibri" w:cs="Calibri"/>
                <w:color w:val="000000"/>
                <w:lang w:eastAsia="fr-FR"/>
              </w:rPr>
            </w:pPr>
            <w:r w:rsidRPr="00153B0F">
              <w:rPr>
                <w:rFonts w:ascii="Calibri" w:eastAsia="Times New Roman" w:hAnsi="Calibri" w:cs="Calibri"/>
                <w:color w:val="000000"/>
                <w:lang w:eastAsia="fr-FR"/>
              </w:rPr>
              <w:t> </w:t>
            </w:r>
          </w:p>
        </w:tc>
      </w:tr>
      <w:tr w:rsidR="00153B0F" w:rsidRPr="00153B0F" w:rsidTr="00153B0F">
        <w:trPr>
          <w:trHeight w:val="300"/>
        </w:trPr>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r>
      <w:tr w:rsidR="00153B0F" w:rsidRPr="00153B0F" w:rsidTr="00153B0F">
        <w:trPr>
          <w:trHeight w:val="300"/>
        </w:trPr>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r>
    </w:tbl>
    <w:p w:rsidR="00153B0F" w:rsidRDefault="00153B0F" w:rsidP="003564E8">
      <w:pPr>
        <w:spacing w:after="0" w:line="240" w:lineRule="auto"/>
        <w:rPr>
          <w:lang w:val="en-US"/>
        </w:rPr>
      </w:pPr>
    </w:p>
    <w:tbl>
      <w:tblPr>
        <w:tblW w:w="10100" w:type="dxa"/>
        <w:tblCellMar>
          <w:left w:w="70" w:type="dxa"/>
          <w:right w:w="70" w:type="dxa"/>
        </w:tblCellMar>
        <w:tblLook w:val="04A0" w:firstRow="1" w:lastRow="0" w:firstColumn="1" w:lastColumn="0" w:noHBand="0" w:noVBand="1"/>
      </w:tblPr>
      <w:tblGrid>
        <w:gridCol w:w="2020"/>
        <w:gridCol w:w="2020"/>
        <w:gridCol w:w="2020"/>
        <w:gridCol w:w="2020"/>
        <w:gridCol w:w="2020"/>
      </w:tblGrid>
      <w:tr w:rsidR="00153B0F" w:rsidRPr="00153B0F" w:rsidTr="00153B0F">
        <w:trPr>
          <w:trHeight w:val="300"/>
        </w:trPr>
        <w:tc>
          <w:tcPr>
            <w:tcW w:w="2020" w:type="dxa"/>
            <w:tcBorders>
              <w:top w:val="single" w:sz="4" w:space="0" w:color="auto"/>
              <w:left w:val="nil"/>
              <w:bottom w:val="single" w:sz="4" w:space="0" w:color="auto"/>
              <w:right w:val="nil"/>
            </w:tcBorders>
            <w:shd w:val="clear" w:color="auto" w:fill="auto"/>
            <w:noWrap/>
            <w:vAlign w:val="center"/>
            <w:hideMark/>
          </w:tcPr>
          <w:p w:rsidR="00153B0F" w:rsidRPr="00153B0F" w:rsidRDefault="00153B0F" w:rsidP="00153B0F">
            <w:pPr>
              <w:spacing w:after="0" w:line="240" w:lineRule="auto"/>
              <w:rPr>
                <w:rFonts w:ascii="Calibri" w:eastAsia="Times New Roman" w:hAnsi="Calibri" w:cs="Calibri"/>
                <w:b/>
                <w:bCs/>
                <w:color w:val="000000"/>
                <w:lang w:eastAsia="fr-FR"/>
              </w:rPr>
            </w:pPr>
            <w:r w:rsidRPr="00153B0F">
              <w:rPr>
                <w:rFonts w:ascii="Calibri" w:eastAsia="Times New Roman" w:hAnsi="Calibri" w:cs="Calibri"/>
                <w:b/>
                <w:bCs/>
                <w:color w:val="000000"/>
                <w:lang w:eastAsia="fr-FR"/>
              </w:rPr>
              <w:t> </w:t>
            </w:r>
          </w:p>
        </w:tc>
        <w:tc>
          <w:tcPr>
            <w:tcW w:w="2020" w:type="dxa"/>
            <w:tcBorders>
              <w:top w:val="single" w:sz="4" w:space="0" w:color="auto"/>
              <w:left w:val="nil"/>
              <w:bottom w:val="single" w:sz="4" w:space="0" w:color="auto"/>
              <w:right w:val="single" w:sz="4" w:space="0" w:color="auto"/>
            </w:tcBorders>
            <w:shd w:val="clear" w:color="auto" w:fill="auto"/>
            <w:noWrap/>
            <w:vAlign w:val="center"/>
            <w:hideMark/>
          </w:tcPr>
          <w:p w:rsidR="00153B0F" w:rsidRPr="00153B0F" w:rsidRDefault="00153B0F" w:rsidP="00153B0F">
            <w:pPr>
              <w:spacing w:after="0" w:line="240" w:lineRule="auto"/>
              <w:rPr>
                <w:rFonts w:ascii="Calibri" w:eastAsia="Times New Roman" w:hAnsi="Calibri" w:cs="Calibri"/>
                <w:b/>
                <w:bCs/>
                <w:color w:val="000000"/>
                <w:lang w:eastAsia="fr-FR"/>
              </w:rPr>
            </w:pPr>
            <w:r w:rsidRPr="00153B0F">
              <w:rPr>
                <w:rFonts w:ascii="Calibri" w:eastAsia="Times New Roman" w:hAnsi="Calibri" w:cs="Calibri"/>
                <w:b/>
                <w:bCs/>
                <w:color w:val="000000"/>
                <w:lang w:eastAsia="fr-FR"/>
              </w:rPr>
              <w:t> </w:t>
            </w:r>
          </w:p>
        </w:tc>
        <w:tc>
          <w:tcPr>
            <w:tcW w:w="20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Actifs</w:t>
            </w:r>
          </w:p>
        </w:tc>
        <w:tc>
          <w:tcPr>
            <w:tcW w:w="20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Obligations</w:t>
            </w:r>
          </w:p>
        </w:tc>
        <w:tc>
          <w:tcPr>
            <w:tcW w:w="20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Nombre de réclamations</w:t>
            </w:r>
          </w:p>
        </w:tc>
      </w:tr>
      <w:tr w:rsidR="00153B0F" w:rsidRPr="00153B0F" w:rsidTr="00153B0F">
        <w:trPr>
          <w:trHeight w:val="300"/>
        </w:trPr>
        <w:tc>
          <w:tcPr>
            <w:tcW w:w="2020" w:type="dxa"/>
            <w:vMerge w:val="restart"/>
            <w:tcBorders>
              <w:top w:val="nil"/>
              <w:left w:val="single" w:sz="4" w:space="0" w:color="auto"/>
              <w:bottom w:val="single" w:sz="4" w:space="0" w:color="000000"/>
              <w:right w:val="single" w:sz="4" w:space="0" w:color="auto"/>
            </w:tcBorders>
            <w:shd w:val="clear" w:color="auto" w:fill="auto"/>
            <w:vAlign w:val="center"/>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xml:space="preserve">Nombre d’épargnants </w:t>
            </w:r>
            <w:proofErr w:type="spellStart"/>
            <w:r w:rsidRPr="00153B0F">
              <w:rPr>
                <w:rFonts w:ascii="Calibri" w:eastAsia="Times New Roman" w:hAnsi="Calibri" w:cs="Calibri"/>
                <w:lang w:eastAsia="fr-FR"/>
              </w:rPr>
              <w:t>pepp</w:t>
            </w:r>
            <w:proofErr w:type="spellEnd"/>
            <w:r w:rsidRPr="00153B0F">
              <w:rPr>
                <w:rFonts w:ascii="Calibri" w:eastAsia="Times New Roman" w:hAnsi="Calibri" w:cs="Calibri"/>
                <w:lang w:eastAsia="fr-FR"/>
              </w:rPr>
              <w:t xml:space="preserve"> ayant demandé à changer de fournisseur en vertu de l’Art. 52, par. 3, du Règlement (UE) 2019/1238</w:t>
            </w:r>
          </w:p>
        </w:tc>
        <w:tc>
          <w:tcPr>
            <w:tcW w:w="202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Transferts effectués en vertu de l’Art. 52, par. 3, du Règlement (UE) 2019/1238</w:t>
            </w:r>
          </w:p>
        </w:tc>
        <w:tc>
          <w:tcPr>
            <w:tcW w:w="2020" w:type="dxa"/>
            <w:vMerge/>
            <w:tcBorders>
              <w:top w:val="single" w:sz="4" w:space="0" w:color="auto"/>
              <w:left w:val="single" w:sz="4" w:space="0" w:color="auto"/>
              <w:bottom w:val="single" w:sz="4" w:space="0" w:color="000000"/>
              <w:right w:val="single" w:sz="4" w:space="0" w:color="auto"/>
            </w:tcBorders>
            <w:vAlign w:val="center"/>
            <w:hideMark/>
          </w:tcPr>
          <w:p w:rsidR="00153B0F" w:rsidRPr="00153B0F" w:rsidRDefault="00153B0F" w:rsidP="00153B0F">
            <w:pPr>
              <w:spacing w:after="0" w:line="240" w:lineRule="auto"/>
              <w:rPr>
                <w:rFonts w:ascii="Calibri" w:eastAsia="Times New Roman" w:hAnsi="Calibri" w:cs="Calibri"/>
                <w:lang w:eastAsia="fr-FR"/>
              </w:rPr>
            </w:pPr>
          </w:p>
        </w:tc>
        <w:tc>
          <w:tcPr>
            <w:tcW w:w="2020" w:type="dxa"/>
            <w:vMerge/>
            <w:tcBorders>
              <w:top w:val="single" w:sz="4" w:space="0" w:color="auto"/>
              <w:left w:val="single" w:sz="4" w:space="0" w:color="auto"/>
              <w:bottom w:val="single" w:sz="4" w:space="0" w:color="000000"/>
              <w:right w:val="single" w:sz="4" w:space="0" w:color="auto"/>
            </w:tcBorders>
            <w:vAlign w:val="center"/>
            <w:hideMark/>
          </w:tcPr>
          <w:p w:rsidR="00153B0F" w:rsidRPr="00153B0F" w:rsidRDefault="00153B0F" w:rsidP="00153B0F">
            <w:pPr>
              <w:spacing w:after="0" w:line="240" w:lineRule="auto"/>
              <w:rPr>
                <w:rFonts w:ascii="Calibri" w:eastAsia="Times New Roman" w:hAnsi="Calibri" w:cs="Calibri"/>
                <w:lang w:eastAsia="fr-FR"/>
              </w:rPr>
            </w:pPr>
          </w:p>
        </w:tc>
        <w:tc>
          <w:tcPr>
            <w:tcW w:w="2020" w:type="dxa"/>
            <w:vMerge/>
            <w:tcBorders>
              <w:top w:val="single" w:sz="4" w:space="0" w:color="auto"/>
              <w:left w:val="single" w:sz="4" w:space="0" w:color="auto"/>
              <w:bottom w:val="single" w:sz="4" w:space="0" w:color="000000"/>
              <w:right w:val="single" w:sz="4" w:space="0" w:color="auto"/>
            </w:tcBorders>
            <w:vAlign w:val="center"/>
            <w:hideMark/>
          </w:tcPr>
          <w:p w:rsidR="00153B0F" w:rsidRPr="00153B0F" w:rsidRDefault="00153B0F" w:rsidP="00153B0F">
            <w:pPr>
              <w:spacing w:after="0" w:line="240" w:lineRule="auto"/>
              <w:rPr>
                <w:rFonts w:ascii="Calibri" w:eastAsia="Times New Roman" w:hAnsi="Calibri" w:cs="Calibri"/>
                <w:lang w:eastAsia="fr-FR"/>
              </w:rPr>
            </w:pPr>
          </w:p>
        </w:tc>
      </w:tr>
      <w:tr w:rsidR="00153B0F" w:rsidRPr="00153B0F" w:rsidTr="00153B0F">
        <w:trPr>
          <w:trHeight w:val="509"/>
        </w:trPr>
        <w:tc>
          <w:tcPr>
            <w:tcW w:w="2020" w:type="dxa"/>
            <w:vMerge/>
            <w:tcBorders>
              <w:top w:val="nil"/>
              <w:left w:val="single" w:sz="4" w:space="0" w:color="auto"/>
              <w:bottom w:val="single" w:sz="4" w:space="0" w:color="000000"/>
              <w:right w:val="single" w:sz="4" w:space="0" w:color="auto"/>
            </w:tcBorders>
            <w:vAlign w:val="center"/>
            <w:hideMark/>
          </w:tcPr>
          <w:p w:rsidR="00153B0F" w:rsidRPr="00153B0F" w:rsidRDefault="00153B0F" w:rsidP="00153B0F">
            <w:pPr>
              <w:spacing w:after="0" w:line="240" w:lineRule="auto"/>
              <w:rPr>
                <w:rFonts w:ascii="Calibri" w:eastAsia="Times New Roman" w:hAnsi="Calibri" w:cs="Calibri"/>
                <w:lang w:eastAsia="fr-FR"/>
              </w:rPr>
            </w:pPr>
          </w:p>
        </w:tc>
        <w:tc>
          <w:tcPr>
            <w:tcW w:w="2020" w:type="dxa"/>
            <w:vMerge/>
            <w:tcBorders>
              <w:top w:val="single" w:sz="4" w:space="0" w:color="auto"/>
              <w:left w:val="single" w:sz="4" w:space="0" w:color="auto"/>
              <w:bottom w:val="single" w:sz="4" w:space="0" w:color="000000"/>
              <w:right w:val="single" w:sz="4" w:space="0" w:color="000000"/>
            </w:tcBorders>
            <w:vAlign w:val="center"/>
            <w:hideMark/>
          </w:tcPr>
          <w:p w:rsidR="00153B0F" w:rsidRPr="00153B0F" w:rsidRDefault="00153B0F" w:rsidP="00153B0F">
            <w:pPr>
              <w:spacing w:after="0" w:line="240" w:lineRule="auto"/>
              <w:rPr>
                <w:rFonts w:ascii="Calibri" w:eastAsia="Times New Roman" w:hAnsi="Calibri" w:cs="Calibri"/>
                <w:lang w:eastAsia="fr-FR"/>
              </w:rPr>
            </w:pPr>
          </w:p>
        </w:tc>
        <w:tc>
          <w:tcPr>
            <w:tcW w:w="2020" w:type="dxa"/>
            <w:vMerge/>
            <w:tcBorders>
              <w:top w:val="single" w:sz="4" w:space="0" w:color="auto"/>
              <w:left w:val="single" w:sz="4" w:space="0" w:color="auto"/>
              <w:bottom w:val="single" w:sz="4" w:space="0" w:color="000000"/>
              <w:right w:val="single" w:sz="4" w:space="0" w:color="auto"/>
            </w:tcBorders>
            <w:vAlign w:val="center"/>
            <w:hideMark/>
          </w:tcPr>
          <w:p w:rsidR="00153B0F" w:rsidRPr="00153B0F" w:rsidRDefault="00153B0F" w:rsidP="00153B0F">
            <w:pPr>
              <w:spacing w:after="0" w:line="240" w:lineRule="auto"/>
              <w:rPr>
                <w:rFonts w:ascii="Calibri" w:eastAsia="Times New Roman" w:hAnsi="Calibri" w:cs="Calibri"/>
                <w:lang w:eastAsia="fr-FR"/>
              </w:rPr>
            </w:pPr>
          </w:p>
        </w:tc>
        <w:tc>
          <w:tcPr>
            <w:tcW w:w="2020" w:type="dxa"/>
            <w:vMerge/>
            <w:tcBorders>
              <w:top w:val="single" w:sz="4" w:space="0" w:color="auto"/>
              <w:left w:val="single" w:sz="4" w:space="0" w:color="auto"/>
              <w:bottom w:val="single" w:sz="4" w:space="0" w:color="000000"/>
              <w:right w:val="single" w:sz="4" w:space="0" w:color="auto"/>
            </w:tcBorders>
            <w:vAlign w:val="center"/>
            <w:hideMark/>
          </w:tcPr>
          <w:p w:rsidR="00153B0F" w:rsidRPr="00153B0F" w:rsidRDefault="00153B0F" w:rsidP="00153B0F">
            <w:pPr>
              <w:spacing w:after="0" w:line="240" w:lineRule="auto"/>
              <w:rPr>
                <w:rFonts w:ascii="Calibri" w:eastAsia="Times New Roman" w:hAnsi="Calibri" w:cs="Calibri"/>
                <w:lang w:eastAsia="fr-FR"/>
              </w:rPr>
            </w:pPr>
          </w:p>
        </w:tc>
        <w:tc>
          <w:tcPr>
            <w:tcW w:w="2020" w:type="dxa"/>
            <w:vMerge/>
            <w:tcBorders>
              <w:top w:val="single" w:sz="4" w:space="0" w:color="auto"/>
              <w:left w:val="single" w:sz="4" w:space="0" w:color="auto"/>
              <w:bottom w:val="single" w:sz="4" w:space="0" w:color="000000"/>
              <w:right w:val="single" w:sz="4" w:space="0" w:color="auto"/>
            </w:tcBorders>
            <w:vAlign w:val="center"/>
            <w:hideMark/>
          </w:tcPr>
          <w:p w:rsidR="00153B0F" w:rsidRPr="00153B0F" w:rsidRDefault="00153B0F" w:rsidP="00153B0F">
            <w:pPr>
              <w:spacing w:after="0" w:line="240" w:lineRule="auto"/>
              <w:rPr>
                <w:rFonts w:ascii="Calibri" w:eastAsia="Times New Roman" w:hAnsi="Calibri" w:cs="Calibri"/>
                <w:lang w:eastAsia="fr-FR"/>
              </w:rPr>
            </w:pPr>
          </w:p>
        </w:tc>
      </w:tr>
      <w:tr w:rsidR="00153B0F" w:rsidRPr="00153B0F" w:rsidTr="00153B0F">
        <w:trPr>
          <w:trHeight w:val="900"/>
        </w:trPr>
        <w:tc>
          <w:tcPr>
            <w:tcW w:w="2020" w:type="dxa"/>
            <w:vMerge/>
            <w:tcBorders>
              <w:top w:val="nil"/>
              <w:left w:val="single" w:sz="4" w:space="0" w:color="auto"/>
              <w:bottom w:val="single" w:sz="4" w:space="0" w:color="000000"/>
              <w:right w:val="single" w:sz="4" w:space="0" w:color="auto"/>
            </w:tcBorders>
            <w:vAlign w:val="center"/>
            <w:hideMark/>
          </w:tcPr>
          <w:p w:rsidR="00153B0F" w:rsidRPr="00153B0F" w:rsidRDefault="00153B0F" w:rsidP="00153B0F">
            <w:pPr>
              <w:spacing w:after="0" w:line="240" w:lineRule="auto"/>
              <w:rPr>
                <w:rFonts w:ascii="Calibri" w:eastAsia="Times New Roman" w:hAnsi="Calibri" w:cs="Calibri"/>
                <w:lang w:eastAsia="fr-FR"/>
              </w:rPr>
            </w:pPr>
          </w:p>
        </w:tc>
        <w:tc>
          <w:tcPr>
            <w:tcW w:w="2020" w:type="dxa"/>
            <w:vMerge/>
            <w:tcBorders>
              <w:top w:val="single" w:sz="4" w:space="0" w:color="auto"/>
              <w:left w:val="single" w:sz="4" w:space="0" w:color="auto"/>
              <w:bottom w:val="single" w:sz="4" w:space="0" w:color="000000"/>
              <w:right w:val="single" w:sz="4" w:space="0" w:color="000000"/>
            </w:tcBorders>
            <w:vAlign w:val="center"/>
            <w:hideMark/>
          </w:tcPr>
          <w:p w:rsidR="00153B0F" w:rsidRPr="00153B0F" w:rsidRDefault="00153B0F" w:rsidP="00153B0F">
            <w:pPr>
              <w:spacing w:after="0" w:line="240" w:lineRule="auto"/>
              <w:rPr>
                <w:rFonts w:ascii="Calibri" w:eastAsia="Times New Roman" w:hAnsi="Calibri" w:cs="Calibri"/>
                <w:lang w:eastAsia="fr-FR"/>
              </w:rPr>
            </w:pPr>
          </w:p>
        </w:tc>
        <w:tc>
          <w:tcPr>
            <w:tcW w:w="2020" w:type="dxa"/>
            <w:vMerge/>
            <w:tcBorders>
              <w:top w:val="single" w:sz="4" w:space="0" w:color="auto"/>
              <w:left w:val="single" w:sz="4" w:space="0" w:color="auto"/>
              <w:bottom w:val="single" w:sz="4" w:space="0" w:color="000000"/>
              <w:right w:val="single" w:sz="4" w:space="0" w:color="auto"/>
            </w:tcBorders>
            <w:vAlign w:val="center"/>
            <w:hideMark/>
          </w:tcPr>
          <w:p w:rsidR="00153B0F" w:rsidRPr="00153B0F" w:rsidRDefault="00153B0F" w:rsidP="00153B0F">
            <w:pPr>
              <w:spacing w:after="0" w:line="240" w:lineRule="auto"/>
              <w:rPr>
                <w:rFonts w:ascii="Calibri" w:eastAsia="Times New Roman" w:hAnsi="Calibri" w:cs="Calibri"/>
                <w:lang w:eastAsia="fr-FR"/>
              </w:rPr>
            </w:pPr>
          </w:p>
        </w:tc>
        <w:tc>
          <w:tcPr>
            <w:tcW w:w="2020" w:type="dxa"/>
            <w:vMerge/>
            <w:tcBorders>
              <w:top w:val="single" w:sz="4" w:space="0" w:color="auto"/>
              <w:left w:val="single" w:sz="4" w:space="0" w:color="auto"/>
              <w:bottom w:val="single" w:sz="4" w:space="0" w:color="000000"/>
              <w:right w:val="single" w:sz="4" w:space="0" w:color="auto"/>
            </w:tcBorders>
            <w:vAlign w:val="center"/>
            <w:hideMark/>
          </w:tcPr>
          <w:p w:rsidR="00153B0F" w:rsidRPr="00153B0F" w:rsidRDefault="00153B0F" w:rsidP="00153B0F">
            <w:pPr>
              <w:spacing w:after="0" w:line="240" w:lineRule="auto"/>
              <w:rPr>
                <w:rFonts w:ascii="Calibri" w:eastAsia="Times New Roman" w:hAnsi="Calibri" w:cs="Calibri"/>
                <w:lang w:eastAsia="fr-FR"/>
              </w:rPr>
            </w:pPr>
          </w:p>
        </w:tc>
        <w:tc>
          <w:tcPr>
            <w:tcW w:w="2020" w:type="dxa"/>
            <w:vMerge/>
            <w:tcBorders>
              <w:top w:val="single" w:sz="4" w:space="0" w:color="auto"/>
              <w:left w:val="single" w:sz="4" w:space="0" w:color="auto"/>
              <w:bottom w:val="single" w:sz="4" w:space="0" w:color="000000"/>
              <w:right w:val="single" w:sz="4" w:space="0" w:color="auto"/>
            </w:tcBorders>
            <w:vAlign w:val="center"/>
            <w:hideMark/>
          </w:tcPr>
          <w:p w:rsidR="00153B0F" w:rsidRPr="00153B0F" w:rsidRDefault="00153B0F" w:rsidP="00153B0F">
            <w:pPr>
              <w:spacing w:after="0" w:line="240" w:lineRule="auto"/>
              <w:rPr>
                <w:rFonts w:ascii="Calibri" w:eastAsia="Times New Roman" w:hAnsi="Calibri" w:cs="Calibri"/>
                <w:lang w:eastAsia="fr-FR"/>
              </w:rPr>
            </w:pPr>
          </w:p>
        </w:tc>
      </w:tr>
      <w:tr w:rsidR="00153B0F" w:rsidRPr="00153B0F" w:rsidTr="00153B0F">
        <w:trPr>
          <w:trHeight w:val="300"/>
        </w:trPr>
        <w:tc>
          <w:tcPr>
            <w:tcW w:w="2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3B0F" w:rsidRPr="00153B0F" w:rsidRDefault="00153B0F" w:rsidP="00153B0F">
            <w:pPr>
              <w:spacing w:after="0" w:line="240" w:lineRule="auto"/>
              <w:jc w:val="center"/>
              <w:rPr>
                <w:rFonts w:ascii="Times New Roman" w:eastAsia="Times New Roman" w:hAnsi="Times New Roman" w:cs="Times New Roman"/>
                <w:b/>
                <w:bCs/>
                <w:sz w:val="18"/>
                <w:szCs w:val="18"/>
                <w:lang w:eastAsia="fr-FR"/>
              </w:rPr>
            </w:pPr>
            <w:r w:rsidRPr="00153B0F">
              <w:rPr>
                <w:rFonts w:ascii="Times New Roman" w:eastAsia="Times New Roman" w:hAnsi="Times New Roman" w:cs="Times New Roman"/>
                <w:b/>
                <w:bCs/>
                <w:sz w:val="18"/>
                <w:szCs w:val="18"/>
                <w:lang w:eastAsia="fr-FR"/>
              </w:rPr>
              <w:t>C0300</w:t>
            </w:r>
          </w:p>
        </w:tc>
        <w:tc>
          <w:tcPr>
            <w:tcW w:w="2020" w:type="dxa"/>
            <w:tcBorders>
              <w:top w:val="single" w:sz="4" w:space="0" w:color="auto"/>
              <w:left w:val="nil"/>
              <w:bottom w:val="single" w:sz="4" w:space="0" w:color="auto"/>
              <w:right w:val="single" w:sz="4" w:space="0" w:color="auto"/>
            </w:tcBorders>
            <w:shd w:val="clear" w:color="auto" w:fill="auto"/>
            <w:noWrap/>
            <w:vAlign w:val="center"/>
            <w:hideMark/>
          </w:tcPr>
          <w:p w:rsidR="00153B0F" w:rsidRPr="00153B0F" w:rsidRDefault="00153B0F" w:rsidP="00153B0F">
            <w:pPr>
              <w:spacing w:after="0" w:line="240" w:lineRule="auto"/>
              <w:jc w:val="center"/>
              <w:rPr>
                <w:rFonts w:ascii="Times New Roman" w:eastAsia="Times New Roman" w:hAnsi="Times New Roman" w:cs="Times New Roman"/>
                <w:b/>
                <w:bCs/>
                <w:sz w:val="18"/>
                <w:szCs w:val="18"/>
                <w:lang w:eastAsia="fr-FR"/>
              </w:rPr>
            </w:pPr>
            <w:r w:rsidRPr="00153B0F">
              <w:rPr>
                <w:rFonts w:ascii="Times New Roman" w:eastAsia="Times New Roman" w:hAnsi="Times New Roman" w:cs="Times New Roman"/>
                <w:b/>
                <w:bCs/>
                <w:sz w:val="18"/>
                <w:szCs w:val="18"/>
                <w:lang w:eastAsia="fr-FR"/>
              </w:rPr>
              <w:t>C0310</w:t>
            </w:r>
          </w:p>
        </w:tc>
        <w:tc>
          <w:tcPr>
            <w:tcW w:w="2020" w:type="dxa"/>
            <w:tcBorders>
              <w:top w:val="single" w:sz="4" w:space="0" w:color="auto"/>
              <w:left w:val="nil"/>
              <w:bottom w:val="single" w:sz="4" w:space="0" w:color="auto"/>
              <w:right w:val="single" w:sz="4" w:space="0" w:color="auto"/>
            </w:tcBorders>
            <w:shd w:val="clear" w:color="auto" w:fill="auto"/>
            <w:noWrap/>
            <w:vAlign w:val="center"/>
            <w:hideMark/>
          </w:tcPr>
          <w:p w:rsidR="00153B0F" w:rsidRPr="00153B0F" w:rsidRDefault="00153B0F" w:rsidP="00153B0F">
            <w:pPr>
              <w:spacing w:after="0" w:line="240" w:lineRule="auto"/>
              <w:jc w:val="center"/>
              <w:rPr>
                <w:rFonts w:ascii="Times New Roman" w:eastAsia="Times New Roman" w:hAnsi="Times New Roman" w:cs="Times New Roman"/>
                <w:b/>
                <w:bCs/>
                <w:sz w:val="18"/>
                <w:szCs w:val="18"/>
                <w:lang w:eastAsia="fr-FR"/>
              </w:rPr>
            </w:pPr>
            <w:r w:rsidRPr="00153B0F">
              <w:rPr>
                <w:rFonts w:ascii="Times New Roman" w:eastAsia="Times New Roman" w:hAnsi="Times New Roman" w:cs="Times New Roman"/>
                <w:b/>
                <w:bCs/>
                <w:sz w:val="18"/>
                <w:szCs w:val="18"/>
                <w:lang w:eastAsia="fr-FR"/>
              </w:rPr>
              <w:t>C0320</w:t>
            </w:r>
          </w:p>
        </w:tc>
        <w:tc>
          <w:tcPr>
            <w:tcW w:w="2020" w:type="dxa"/>
            <w:tcBorders>
              <w:top w:val="single" w:sz="4" w:space="0" w:color="auto"/>
              <w:left w:val="nil"/>
              <w:bottom w:val="single" w:sz="4" w:space="0" w:color="auto"/>
              <w:right w:val="single" w:sz="4" w:space="0" w:color="auto"/>
            </w:tcBorders>
            <w:shd w:val="clear" w:color="auto" w:fill="auto"/>
            <w:noWrap/>
            <w:vAlign w:val="center"/>
            <w:hideMark/>
          </w:tcPr>
          <w:p w:rsidR="00153B0F" w:rsidRPr="00153B0F" w:rsidRDefault="00153B0F" w:rsidP="00153B0F">
            <w:pPr>
              <w:spacing w:after="0" w:line="240" w:lineRule="auto"/>
              <w:jc w:val="center"/>
              <w:rPr>
                <w:rFonts w:ascii="Times New Roman" w:eastAsia="Times New Roman" w:hAnsi="Times New Roman" w:cs="Times New Roman"/>
                <w:b/>
                <w:bCs/>
                <w:sz w:val="18"/>
                <w:szCs w:val="18"/>
                <w:lang w:eastAsia="fr-FR"/>
              </w:rPr>
            </w:pPr>
            <w:r w:rsidRPr="00153B0F">
              <w:rPr>
                <w:rFonts w:ascii="Times New Roman" w:eastAsia="Times New Roman" w:hAnsi="Times New Roman" w:cs="Times New Roman"/>
                <w:b/>
                <w:bCs/>
                <w:sz w:val="18"/>
                <w:szCs w:val="18"/>
                <w:lang w:eastAsia="fr-FR"/>
              </w:rPr>
              <w:t>C0330</w:t>
            </w:r>
          </w:p>
        </w:tc>
        <w:tc>
          <w:tcPr>
            <w:tcW w:w="2020" w:type="dxa"/>
            <w:tcBorders>
              <w:top w:val="single" w:sz="4" w:space="0" w:color="auto"/>
              <w:left w:val="nil"/>
              <w:bottom w:val="single" w:sz="4" w:space="0" w:color="auto"/>
              <w:right w:val="single" w:sz="4" w:space="0" w:color="auto"/>
            </w:tcBorders>
            <w:shd w:val="clear" w:color="auto" w:fill="auto"/>
            <w:noWrap/>
            <w:vAlign w:val="center"/>
            <w:hideMark/>
          </w:tcPr>
          <w:p w:rsidR="00153B0F" w:rsidRPr="00153B0F" w:rsidRDefault="00153B0F" w:rsidP="00153B0F">
            <w:pPr>
              <w:spacing w:after="0" w:line="240" w:lineRule="auto"/>
              <w:jc w:val="center"/>
              <w:rPr>
                <w:rFonts w:ascii="Times New Roman" w:eastAsia="Times New Roman" w:hAnsi="Times New Roman" w:cs="Times New Roman"/>
                <w:b/>
                <w:bCs/>
                <w:sz w:val="18"/>
                <w:szCs w:val="18"/>
                <w:lang w:eastAsia="fr-FR"/>
              </w:rPr>
            </w:pPr>
            <w:r w:rsidRPr="00153B0F">
              <w:rPr>
                <w:rFonts w:ascii="Times New Roman" w:eastAsia="Times New Roman" w:hAnsi="Times New Roman" w:cs="Times New Roman"/>
                <w:b/>
                <w:bCs/>
                <w:sz w:val="18"/>
                <w:szCs w:val="18"/>
                <w:lang w:eastAsia="fr-FR"/>
              </w:rPr>
              <w:t>C0340</w:t>
            </w:r>
          </w:p>
        </w:tc>
      </w:tr>
      <w:tr w:rsidR="00153B0F" w:rsidRPr="00153B0F" w:rsidTr="00153B0F">
        <w:trPr>
          <w:trHeight w:val="300"/>
        </w:trPr>
        <w:tc>
          <w:tcPr>
            <w:tcW w:w="202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noWrap/>
            <w:vAlign w:val="center"/>
            <w:hideMark/>
          </w:tcPr>
          <w:p w:rsidR="00153B0F" w:rsidRPr="00153B0F" w:rsidRDefault="00153B0F" w:rsidP="00153B0F">
            <w:pPr>
              <w:spacing w:after="0" w:line="240" w:lineRule="auto"/>
              <w:rPr>
                <w:rFonts w:ascii="Calibri" w:eastAsia="Times New Roman" w:hAnsi="Calibri" w:cs="Calibri"/>
                <w:color w:val="000000"/>
                <w:lang w:eastAsia="fr-FR"/>
              </w:rPr>
            </w:pPr>
            <w:r w:rsidRPr="00153B0F">
              <w:rPr>
                <w:rFonts w:ascii="Calibri" w:eastAsia="Times New Roman" w:hAnsi="Calibri" w:cs="Calibri"/>
                <w:color w:val="000000"/>
                <w:lang w:eastAsia="fr-FR"/>
              </w:rPr>
              <w:t> </w:t>
            </w:r>
          </w:p>
        </w:tc>
        <w:tc>
          <w:tcPr>
            <w:tcW w:w="202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hideMark/>
          </w:tcPr>
          <w:p w:rsidR="00153B0F" w:rsidRPr="00153B0F" w:rsidRDefault="00153B0F" w:rsidP="00153B0F">
            <w:pPr>
              <w:spacing w:after="0" w:line="240" w:lineRule="auto"/>
              <w:rPr>
                <w:rFonts w:ascii="Calibri" w:eastAsia="Times New Roman" w:hAnsi="Calibri" w:cs="Calibri"/>
                <w:color w:val="000000"/>
                <w:lang w:eastAsia="fr-FR"/>
              </w:rPr>
            </w:pPr>
            <w:r w:rsidRPr="00153B0F">
              <w:rPr>
                <w:rFonts w:ascii="Calibri" w:eastAsia="Times New Roman" w:hAnsi="Calibri" w:cs="Calibri"/>
                <w:color w:val="000000"/>
                <w:lang w:eastAsia="fr-FR"/>
              </w:rPr>
              <w:t> </w:t>
            </w:r>
          </w:p>
        </w:tc>
        <w:tc>
          <w:tcPr>
            <w:tcW w:w="202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hideMark/>
          </w:tcPr>
          <w:p w:rsidR="00153B0F" w:rsidRPr="00153B0F" w:rsidRDefault="00153B0F" w:rsidP="00153B0F">
            <w:pPr>
              <w:spacing w:after="0" w:line="240" w:lineRule="auto"/>
              <w:rPr>
                <w:rFonts w:ascii="Calibri" w:eastAsia="Times New Roman" w:hAnsi="Calibri" w:cs="Calibri"/>
                <w:color w:val="000000"/>
                <w:lang w:eastAsia="fr-FR"/>
              </w:rPr>
            </w:pPr>
            <w:r w:rsidRPr="00153B0F">
              <w:rPr>
                <w:rFonts w:ascii="Calibri" w:eastAsia="Times New Roman" w:hAnsi="Calibri" w:cs="Calibri"/>
                <w:color w:val="000000"/>
                <w:lang w:eastAsia="fr-FR"/>
              </w:rPr>
              <w:t> </w:t>
            </w:r>
          </w:p>
        </w:tc>
        <w:tc>
          <w:tcPr>
            <w:tcW w:w="202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hideMark/>
          </w:tcPr>
          <w:p w:rsidR="00153B0F" w:rsidRPr="00153B0F" w:rsidRDefault="00153B0F" w:rsidP="00153B0F">
            <w:pPr>
              <w:spacing w:after="0" w:line="240" w:lineRule="auto"/>
              <w:rPr>
                <w:rFonts w:ascii="Calibri" w:eastAsia="Times New Roman" w:hAnsi="Calibri" w:cs="Calibri"/>
                <w:color w:val="000000"/>
                <w:lang w:eastAsia="fr-FR"/>
              </w:rPr>
            </w:pPr>
            <w:r w:rsidRPr="00153B0F">
              <w:rPr>
                <w:rFonts w:ascii="Calibri" w:eastAsia="Times New Roman" w:hAnsi="Calibri" w:cs="Calibri"/>
                <w:color w:val="000000"/>
                <w:lang w:eastAsia="fr-FR"/>
              </w:rPr>
              <w:t> </w:t>
            </w:r>
          </w:p>
        </w:tc>
        <w:tc>
          <w:tcPr>
            <w:tcW w:w="2020"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hideMark/>
          </w:tcPr>
          <w:p w:rsidR="00153B0F" w:rsidRPr="00153B0F" w:rsidRDefault="00153B0F" w:rsidP="00153B0F">
            <w:pPr>
              <w:spacing w:after="0" w:line="240" w:lineRule="auto"/>
              <w:rPr>
                <w:rFonts w:ascii="Calibri" w:eastAsia="Times New Roman" w:hAnsi="Calibri" w:cs="Calibri"/>
                <w:color w:val="000000"/>
                <w:lang w:eastAsia="fr-FR"/>
              </w:rPr>
            </w:pPr>
            <w:r w:rsidRPr="00153B0F">
              <w:rPr>
                <w:rFonts w:ascii="Calibri" w:eastAsia="Times New Roman" w:hAnsi="Calibri" w:cs="Calibri"/>
                <w:color w:val="000000"/>
                <w:lang w:eastAsia="fr-FR"/>
              </w:rPr>
              <w:t> </w:t>
            </w:r>
          </w:p>
        </w:tc>
      </w:tr>
      <w:tr w:rsidR="00153B0F" w:rsidRPr="00153B0F" w:rsidTr="00153B0F">
        <w:trPr>
          <w:trHeight w:val="300"/>
        </w:trPr>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r>
      <w:tr w:rsidR="00153B0F" w:rsidRPr="00153B0F" w:rsidTr="00153B0F">
        <w:trPr>
          <w:trHeight w:val="300"/>
        </w:trPr>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r>
      <w:tr w:rsidR="00153B0F" w:rsidRPr="00153B0F" w:rsidTr="00153B0F">
        <w:trPr>
          <w:trHeight w:val="300"/>
        </w:trPr>
        <w:tc>
          <w:tcPr>
            <w:tcW w:w="2020" w:type="dxa"/>
            <w:tcBorders>
              <w:top w:val="nil"/>
              <w:left w:val="single" w:sz="4" w:space="0" w:color="auto"/>
              <w:bottom w:val="single" w:sz="4" w:space="0" w:color="auto"/>
              <w:right w:val="single" w:sz="4" w:space="0" w:color="auto"/>
              <w:tl2br w:val="single" w:sz="4" w:space="0" w:color="auto"/>
              <w:tr2bl w:val="single" w:sz="4" w:space="0" w:color="auto"/>
            </w:tcBorders>
            <w:shd w:val="clear" w:color="auto" w:fill="auto"/>
            <w:noWrap/>
            <w:vAlign w:val="center"/>
            <w:hideMark/>
          </w:tcPr>
          <w:p w:rsidR="00153B0F" w:rsidRPr="00153B0F" w:rsidRDefault="00153B0F" w:rsidP="00153B0F">
            <w:pPr>
              <w:spacing w:after="0" w:line="240" w:lineRule="auto"/>
              <w:rPr>
                <w:rFonts w:ascii="Calibri" w:eastAsia="Times New Roman" w:hAnsi="Calibri" w:cs="Calibri"/>
                <w:color w:val="000000"/>
                <w:lang w:eastAsia="fr-FR"/>
              </w:rPr>
            </w:pPr>
            <w:r w:rsidRPr="00153B0F">
              <w:rPr>
                <w:rFonts w:ascii="Calibri" w:eastAsia="Times New Roman" w:hAnsi="Calibri" w:cs="Calibri"/>
                <w:color w:val="000000"/>
                <w:lang w:eastAsia="fr-FR"/>
              </w:rPr>
              <w:t> </w:t>
            </w:r>
          </w:p>
        </w:tc>
        <w:tc>
          <w:tcPr>
            <w:tcW w:w="2020" w:type="dxa"/>
            <w:tcBorders>
              <w:top w:val="nil"/>
              <w:left w:val="nil"/>
              <w:bottom w:val="single" w:sz="4" w:space="0" w:color="auto"/>
              <w:right w:val="single" w:sz="4" w:space="0" w:color="auto"/>
              <w:tl2br w:val="single" w:sz="4" w:space="0" w:color="auto"/>
              <w:tr2bl w:val="single" w:sz="4" w:space="0" w:color="auto"/>
            </w:tcBorders>
            <w:shd w:val="clear" w:color="auto" w:fill="auto"/>
            <w:noWrap/>
            <w:vAlign w:val="center"/>
            <w:hideMark/>
          </w:tcPr>
          <w:p w:rsidR="00153B0F" w:rsidRPr="00153B0F" w:rsidRDefault="00153B0F" w:rsidP="00153B0F">
            <w:pPr>
              <w:spacing w:after="0" w:line="240" w:lineRule="auto"/>
              <w:rPr>
                <w:rFonts w:ascii="Calibri" w:eastAsia="Times New Roman" w:hAnsi="Calibri" w:cs="Calibri"/>
                <w:color w:val="000000"/>
                <w:lang w:eastAsia="fr-FR"/>
              </w:rPr>
            </w:pPr>
            <w:r w:rsidRPr="00153B0F">
              <w:rPr>
                <w:rFonts w:ascii="Calibri" w:eastAsia="Times New Roman" w:hAnsi="Calibri" w:cs="Calibri"/>
                <w:color w:val="000000"/>
                <w:lang w:eastAsia="fr-FR"/>
              </w:rPr>
              <w:t> </w:t>
            </w:r>
          </w:p>
        </w:tc>
        <w:tc>
          <w:tcPr>
            <w:tcW w:w="2020" w:type="dxa"/>
            <w:tcBorders>
              <w:top w:val="nil"/>
              <w:left w:val="nil"/>
              <w:bottom w:val="single" w:sz="4" w:space="0" w:color="auto"/>
              <w:right w:val="single" w:sz="4" w:space="0" w:color="auto"/>
              <w:tl2br w:val="single" w:sz="4" w:space="0" w:color="auto"/>
              <w:tr2bl w:val="single" w:sz="4" w:space="0" w:color="auto"/>
            </w:tcBorders>
            <w:shd w:val="clear" w:color="auto" w:fill="auto"/>
            <w:noWrap/>
            <w:vAlign w:val="center"/>
            <w:hideMark/>
          </w:tcPr>
          <w:p w:rsidR="00153B0F" w:rsidRPr="00153B0F" w:rsidRDefault="00153B0F" w:rsidP="00153B0F">
            <w:pPr>
              <w:spacing w:after="0" w:line="240" w:lineRule="auto"/>
              <w:rPr>
                <w:rFonts w:ascii="Calibri" w:eastAsia="Times New Roman" w:hAnsi="Calibri" w:cs="Calibri"/>
                <w:color w:val="000000"/>
                <w:lang w:eastAsia="fr-FR"/>
              </w:rPr>
            </w:pPr>
            <w:r w:rsidRPr="00153B0F">
              <w:rPr>
                <w:rFonts w:ascii="Calibri" w:eastAsia="Times New Roman" w:hAnsi="Calibri" w:cs="Calibri"/>
                <w:color w:val="000000"/>
                <w:lang w:eastAsia="fr-FR"/>
              </w:rPr>
              <w:t> </w:t>
            </w:r>
          </w:p>
        </w:tc>
        <w:tc>
          <w:tcPr>
            <w:tcW w:w="2020" w:type="dxa"/>
            <w:tcBorders>
              <w:top w:val="nil"/>
              <w:left w:val="nil"/>
              <w:bottom w:val="single" w:sz="4" w:space="0" w:color="auto"/>
              <w:right w:val="single" w:sz="4" w:space="0" w:color="auto"/>
              <w:tl2br w:val="single" w:sz="4" w:space="0" w:color="auto"/>
              <w:tr2bl w:val="single" w:sz="4" w:space="0" w:color="auto"/>
            </w:tcBorders>
            <w:shd w:val="clear" w:color="auto" w:fill="auto"/>
            <w:noWrap/>
            <w:vAlign w:val="center"/>
            <w:hideMark/>
          </w:tcPr>
          <w:p w:rsidR="00153B0F" w:rsidRPr="00153B0F" w:rsidRDefault="00153B0F" w:rsidP="00153B0F">
            <w:pPr>
              <w:spacing w:after="0" w:line="240" w:lineRule="auto"/>
              <w:rPr>
                <w:rFonts w:ascii="Calibri" w:eastAsia="Times New Roman" w:hAnsi="Calibri" w:cs="Calibri"/>
                <w:color w:val="000000"/>
                <w:lang w:eastAsia="fr-FR"/>
              </w:rPr>
            </w:pPr>
            <w:r w:rsidRPr="00153B0F">
              <w:rPr>
                <w:rFonts w:ascii="Calibri" w:eastAsia="Times New Roman" w:hAnsi="Calibri" w:cs="Calibri"/>
                <w:color w:val="000000"/>
                <w:lang w:eastAsia="fr-FR"/>
              </w:rPr>
              <w:t> </w:t>
            </w:r>
          </w:p>
        </w:tc>
        <w:tc>
          <w:tcPr>
            <w:tcW w:w="2020" w:type="dxa"/>
            <w:tcBorders>
              <w:top w:val="nil"/>
              <w:left w:val="nil"/>
              <w:bottom w:val="single" w:sz="4" w:space="0" w:color="auto"/>
              <w:right w:val="single" w:sz="4" w:space="0" w:color="auto"/>
              <w:tl2br w:val="single" w:sz="4" w:space="0" w:color="auto"/>
              <w:tr2bl w:val="single" w:sz="4" w:space="0" w:color="auto"/>
            </w:tcBorders>
            <w:shd w:val="clear" w:color="auto" w:fill="auto"/>
            <w:noWrap/>
            <w:vAlign w:val="center"/>
            <w:hideMark/>
          </w:tcPr>
          <w:p w:rsidR="00153B0F" w:rsidRPr="00153B0F" w:rsidRDefault="00153B0F" w:rsidP="00153B0F">
            <w:pPr>
              <w:spacing w:after="0" w:line="240" w:lineRule="auto"/>
              <w:rPr>
                <w:rFonts w:ascii="Calibri" w:eastAsia="Times New Roman" w:hAnsi="Calibri" w:cs="Calibri"/>
                <w:color w:val="000000"/>
                <w:lang w:eastAsia="fr-FR"/>
              </w:rPr>
            </w:pPr>
            <w:r w:rsidRPr="00153B0F">
              <w:rPr>
                <w:rFonts w:ascii="Calibri" w:eastAsia="Times New Roman" w:hAnsi="Calibri" w:cs="Calibri"/>
                <w:color w:val="000000"/>
                <w:lang w:eastAsia="fr-FR"/>
              </w:rPr>
              <w:t> </w:t>
            </w:r>
          </w:p>
        </w:tc>
      </w:tr>
      <w:tr w:rsidR="00153B0F" w:rsidRPr="00153B0F" w:rsidTr="00153B0F">
        <w:trPr>
          <w:trHeight w:val="300"/>
        </w:trPr>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r>
      <w:tr w:rsidR="00153B0F" w:rsidRPr="00153B0F" w:rsidTr="00153B0F">
        <w:trPr>
          <w:trHeight w:val="300"/>
        </w:trPr>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c>
          <w:tcPr>
            <w:tcW w:w="2020" w:type="dxa"/>
            <w:tcBorders>
              <w:top w:val="nil"/>
              <w:left w:val="single" w:sz="4" w:space="0" w:color="auto"/>
              <w:bottom w:val="single" w:sz="4" w:space="0" w:color="auto"/>
              <w:right w:val="single" w:sz="4" w:space="0" w:color="auto"/>
            </w:tcBorders>
            <w:shd w:val="clear" w:color="auto" w:fill="auto"/>
            <w:vAlign w:val="bottom"/>
            <w:hideMark/>
          </w:tcPr>
          <w:p w:rsidR="00153B0F" w:rsidRPr="00153B0F" w:rsidRDefault="00153B0F" w:rsidP="00153B0F">
            <w:pPr>
              <w:spacing w:after="0" w:line="240" w:lineRule="auto"/>
              <w:jc w:val="center"/>
              <w:rPr>
                <w:rFonts w:ascii="Calibri" w:eastAsia="Times New Roman" w:hAnsi="Calibri" w:cs="Calibri"/>
                <w:lang w:eastAsia="fr-FR"/>
              </w:rPr>
            </w:pPr>
            <w:r w:rsidRPr="00153B0F">
              <w:rPr>
                <w:rFonts w:ascii="Calibri" w:eastAsia="Times New Roman" w:hAnsi="Calibri" w:cs="Calibri"/>
                <w:lang w:eastAsia="fr-FR"/>
              </w:rPr>
              <w:t> </w:t>
            </w:r>
          </w:p>
        </w:tc>
      </w:tr>
    </w:tbl>
    <w:p w:rsidR="00153B0F" w:rsidRPr="009E5F35" w:rsidRDefault="00153B0F" w:rsidP="003564E8">
      <w:pPr>
        <w:spacing w:after="0" w:line="240" w:lineRule="auto"/>
        <w:rPr>
          <w:lang w:val="en-US"/>
        </w:rPr>
      </w:pPr>
    </w:p>
    <w:sectPr w:rsidR="00153B0F" w:rsidRPr="009E5F35" w:rsidSect="009E5F35">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A49" w:rsidRDefault="00AD3A49" w:rsidP="00C44F2A">
      <w:pPr>
        <w:spacing w:after="0" w:line="240" w:lineRule="auto"/>
      </w:pPr>
      <w:r>
        <w:separator/>
      </w:r>
    </w:p>
  </w:endnote>
  <w:endnote w:type="continuationSeparator" w:id="0">
    <w:p w:rsidR="00AD3A49" w:rsidRDefault="00AD3A49" w:rsidP="00C44F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1170189"/>
      <w:docPartObj>
        <w:docPartGallery w:val="Page Numbers (Bottom of Page)"/>
        <w:docPartUnique/>
      </w:docPartObj>
    </w:sdtPr>
    <w:sdtEndPr/>
    <w:sdtContent>
      <w:p w:rsidR="00AD3A49" w:rsidRDefault="00AD3A49">
        <w:pPr>
          <w:pStyle w:val="Pieddepage"/>
        </w:pPr>
        <w:r>
          <w:fldChar w:fldCharType="begin"/>
        </w:r>
        <w:r>
          <w:instrText>PAGE   \* MERGEFORMAT</w:instrText>
        </w:r>
        <w:r>
          <w:fldChar w:fldCharType="separate"/>
        </w:r>
        <w:r w:rsidR="003564E8">
          <w:rPr>
            <w:noProof/>
          </w:rPr>
          <w:t>2</w:t>
        </w:r>
        <w:r>
          <w:fldChar w:fldCharType="end"/>
        </w:r>
      </w:p>
    </w:sdtContent>
  </w:sdt>
  <w:p w:rsidR="00AD3A49" w:rsidRDefault="00AD3A4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A49" w:rsidRDefault="00AD3A49" w:rsidP="00C44F2A">
      <w:pPr>
        <w:spacing w:after="0" w:line="240" w:lineRule="auto"/>
      </w:pPr>
      <w:r>
        <w:separator/>
      </w:r>
    </w:p>
  </w:footnote>
  <w:footnote w:type="continuationSeparator" w:id="0">
    <w:p w:rsidR="00AD3A49" w:rsidRDefault="00AD3A49" w:rsidP="00C44F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15:restartNumberingAfterBreak="0">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C367BA"/>
    <w:multiLevelType w:val="hybridMultilevel"/>
    <w:tmpl w:val="367C938A"/>
    <w:lvl w:ilvl="0" w:tplc="522014C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3F2368"/>
    <w:multiLevelType w:val="hybridMultilevel"/>
    <w:tmpl w:val="25AC9F20"/>
    <w:lvl w:ilvl="0" w:tplc="03F2D5D0">
      <w:start w:val="1"/>
      <w:numFmt w:val="decimal"/>
      <w:lvlText w:val="%1."/>
      <w:lvlJc w:val="left"/>
      <w:pPr>
        <w:ind w:left="1800" w:hanging="360"/>
      </w:pPr>
      <w:rPr>
        <w:rFonts w:ascii="Times New Roman" w:eastAsia="Times New Roman" w:hAnsi="Times New Roman"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4" w15:restartNumberingAfterBreak="0">
    <w:nsid w:val="44C44EE5"/>
    <w:multiLevelType w:val="hybridMultilevel"/>
    <w:tmpl w:val="25AC9F20"/>
    <w:lvl w:ilvl="0" w:tplc="03F2D5D0">
      <w:start w:val="1"/>
      <w:numFmt w:val="decimal"/>
      <w:lvlText w:val="%1."/>
      <w:lvlJc w:val="left"/>
      <w:pPr>
        <w:ind w:left="1800" w:hanging="360"/>
      </w:pPr>
      <w:rPr>
        <w:rFonts w:ascii="Times New Roman" w:eastAsia="Times New Roman" w:hAnsi="Times New Roman"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num w:numId="1">
    <w:abstractNumId w:val="2"/>
  </w:num>
  <w:num w:numId="2">
    <w:abstractNumId w:val="3"/>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F2A"/>
    <w:rsid w:val="0002010E"/>
    <w:rsid w:val="000212E3"/>
    <w:rsid w:val="00042413"/>
    <w:rsid w:val="00054A98"/>
    <w:rsid w:val="0005644C"/>
    <w:rsid w:val="00074DE9"/>
    <w:rsid w:val="0008685D"/>
    <w:rsid w:val="0015156E"/>
    <w:rsid w:val="00152B2E"/>
    <w:rsid w:val="00153B0F"/>
    <w:rsid w:val="00176292"/>
    <w:rsid w:val="001B2DDA"/>
    <w:rsid w:val="002205D3"/>
    <w:rsid w:val="00237807"/>
    <w:rsid w:val="00241A4A"/>
    <w:rsid w:val="00286886"/>
    <w:rsid w:val="002907D2"/>
    <w:rsid w:val="002A6E5D"/>
    <w:rsid w:val="002A7101"/>
    <w:rsid w:val="002B70C6"/>
    <w:rsid w:val="002C47BD"/>
    <w:rsid w:val="002C636D"/>
    <w:rsid w:val="00321B2B"/>
    <w:rsid w:val="003564E8"/>
    <w:rsid w:val="0036293A"/>
    <w:rsid w:val="00373B38"/>
    <w:rsid w:val="00376B7C"/>
    <w:rsid w:val="0039106C"/>
    <w:rsid w:val="003A6FE8"/>
    <w:rsid w:val="003E28FC"/>
    <w:rsid w:val="004855C8"/>
    <w:rsid w:val="00491C2E"/>
    <w:rsid w:val="00493D8B"/>
    <w:rsid w:val="004B020E"/>
    <w:rsid w:val="004E6797"/>
    <w:rsid w:val="004F2657"/>
    <w:rsid w:val="00517232"/>
    <w:rsid w:val="00571701"/>
    <w:rsid w:val="00594644"/>
    <w:rsid w:val="005C3B6E"/>
    <w:rsid w:val="0066744D"/>
    <w:rsid w:val="006C2D2C"/>
    <w:rsid w:val="006C60BD"/>
    <w:rsid w:val="006F06B9"/>
    <w:rsid w:val="006F4C23"/>
    <w:rsid w:val="00811036"/>
    <w:rsid w:val="00870F47"/>
    <w:rsid w:val="00877D8F"/>
    <w:rsid w:val="00891E81"/>
    <w:rsid w:val="00951F25"/>
    <w:rsid w:val="00991509"/>
    <w:rsid w:val="009B0140"/>
    <w:rsid w:val="009C233E"/>
    <w:rsid w:val="009E5F35"/>
    <w:rsid w:val="00A05F50"/>
    <w:rsid w:val="00A3378A"/>
    <w:rsid w:val="00A873E7"/>
    <w:rsid w:val="00AD3A49"/>
    <w:rsid w:val="00B24561"/>
    <w:rsid w:val="00BC6970"/>
    <w:rsid w:val="00BE386F"/>
    <w:rsid w:val="00BF46FC"/>
    <w:rsid w:val="00C15EB9"/>
    <w:rsid w:val="00C166E0"/>
    <w:rsid w:val="00C44F2A"/>
    <w:rsid w:val="00C56A00"/>
    <w:rsid w:val="00C71391"/>
    <w:rsid w:val="00CB36C7"/>
    <w:rsid w:val="00CD17A3"/>
    <w:rsid w:val="00CD58A5"/>
    <w:rsid w:val="00D02AF7"/>
    <w:rsid w:val="00D40FB1"/>
    <w:rsid w:val="00D43D45"/>
    <w:rsid w:val="00D66CEF"/>
    <w:rsid w:val="00D77674"/>
    <w:rsid w:val="00D95E2F"/>
    <w:rsid w:val="00DA437B"/>
    <w:rsid w:val="00DA5C99"/>
    <w:rsid w:val="00DA6EA0"/>
    <w:rsid w:val="00DB3049"/>
    <w:rsid w:val="00DB60AB"/>
    <w:rsid w:val="00DC7ADB"/>
    <w:rsid w:val="00E54B68"/>
    <w:rsid w:val="00EE0316"/>
    <w:rsid w:val="00EF4B15"/>
    <w:rsid w:val="00EF5D29"/>
    <w:rsid w:val="00F02B38"/>
    <w:rsid w:val="00F07144"/>
    <w:rsid w:val="00F20136"/>
    <w:rsid w:val="00F3043D"/>
    <w:rsid w:val="00FD24E9"/>
    <w:rsid w:val="00FE6C34"/>
    <w:rsid w:val="00FF45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DC0FB"/>
  <w15:docId w15:val="{6E23E530-105F-4158-8A00-FFD29E4BC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4F2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C44F2A"/>
    <w:rPr>
      <w:color w:val="0000FF" w:themeColor="hyperlink"/>
      <w:u w:val="single"/>
    </w:rPr>
  </w:style>
  <w:style w:type="paragraph" w:styleId="Paragraphedeliste">
    <w:name w:val="List Paragraph"/>
    <w:basedOn w:val="Normal"/>
    <w:uiPriority w:val="34"/>
    <w:qFormat/>
    <w:rsid w:val="00C44F2A"/>
    <w:pPr>
      <w:ind w:left="720"/>
      <w:contextualSpacing/>
    </w:pPr>
  </w:style>
  <w:style w:type="paragraph" w:customStyle="1" w:styleId="Paragraphedeliste1">
    <w:name w:val="Paragraphe de liste1"/>
    <w:basedOn w:val="Normal"/>
    <w:rsid w:val="00C44F2A"/>
    <w:pPr>
      <w:spacing w:after="0" w:line="240" w:lineRule="auto"/>
      <w:ind w:left="720"/>
      <w:contextualSpacing/>
      <w:jc w:val="both"/>
    </w:pPr>
    <w:rPr>
      <w:rFonts w:ascii="Times New Roman" w:eastAsia="Times New Roman" w:hAnsi="Times New Roman" w:cs="Times New Roman"/>
      <w:szCs w:val="20"/>
      <w:lang w:eastAsia="fr-FR"/>
    </w:rPr>
  </w:style>
  <w:style w:type="character" w:styleId="Marquedecommentaire">
    <w:name w:val="annotation reference"/>
    <w:basedOn w:val="Policepardfaut"/>
    <w:uiPriority w:val="99"/>
    <w:semiHidden/>
    <w:unhideWhenUsed/>
    <w:rsid w:val="00C44F2A"/>
    <w:rPr>
      <w:sz w:val="16"/>
      <w:szCs w:val="16"/>
    </w:rPr>
  </w:style>
  <w:style w:type="paragraph" w:styleId="Commentaire">
    <w:name w:val="annotation text"/>
    <w:basedOn w:val="Normal"/>
    <w:link w:val="CommentaireCar"/>
    <w:uiPriority w:val="99"/>
    <w:semiHidden/>
    <w:unhideWhenUsed/>
    <w:rsid w:val="00C44F2A"/>
    <w:pPr>
      <w:spacing w:line="240" w:lineRule="auto"/>
    </w:pPr>
    <w:rPr>
      <w:sz w:val="20"/>
      <w:szCs w:val="20"/>
    </w:rPr>
  </w:style>
  <w:style w:type="character" w:customStyle="1" w:styleId="CommentaireCar">
    <w:name w:val="Commentaire Car"/>
    <w:basedOn w:val="Policepardfaut"/>
    <w:link w:val="Commentaire"/>
    <w:uiPriority w:val="99"/>
    <w:semiHidden/>
    <w:rsid w:val="00C44F2A"/>
    <w:rPr>
      <w:sz w:val="20"/>
      <w:szCs w:val="20"/>
    </w:rPr>
  </w:style>
  <w:style w:type="paragraph" w:styleId="Textedebulles">
    <w:name w:val="Balloon Text"/>
    <w:basedOn w:val="Normal"/>
    <w:link w:val="TextedebullesCar"/>
    <w:uiPriority w:val="99"/>
    <w:semiHidden/>
    <w:unhideWhenUsed/>
    <w:rsid w:val="00C44F2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44F2A"/>
    <w:rPr>
      <w:rFonts w:ascii="Tahoma" w:hAnsi="Tahoma" w:cs="Tahoma"/>
      <w:sz w:val="16"/>
      <w:szCs w:val="16"/>
    </w:rPr>
  </w:style>
  <w:style w:type="paragraph" w:styleId="En-tte">
    <w:name w:val="header"/>
    <w:basedOn w:val="Normal"/>
    <w:link w:val="En-tteCar"/>
    <w:uiPriority w:val="99"/>
    <w:unhideWhenUsed/>
    <w:rsid w:val="00C44F2A"/>
    <w:pPr>
      <w:tabs>
        <w:tab w:val="center" w:pos="4536"/>
        <w:tab w:val="right" w:pos="9072"/>
      </w:tabs>
      <w:spacing w:after="0" w:line="240" w:lineRule="auto"/>
    </w:pPr>
  </w:style>
  <w:style w:type="character" w:customStyle="1" w:styleId="En-tteCar">
    <w:name w:val="En-tête Car"/>
    <w:basedOn w:val="Policepardfaut"/>
    <w:link w:val="En-tte"/>
    <w:uiPriority w:val="99"/>
    <w:rsid w:val="00C44F2A"/>
  </w:style>
  <w:style w:type="paragraph" w:styleId="Pieddepage">
    <w:name w:val="footer"/>
    <w:basedOn w:val="Normal"/>
    <w:link w:val="PieddepageCar"/>
    <w:uiPriority w:val="99"/>
    <w:unhideWhenUsed/>
    <w:rsid w:val="00C44F2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44F2A"/>
  </w:style>
  <w:style w:type="paragraph" w:styleId="Objetducommentaire">
    <w:name w:val="annotation subject"/>
    <w:basedOn w:val="Commentaire"/>
    <w:next w:val="Commentaire"/>
    <w:link w:val="ObjetducommentaireCar"/>
    <w:uiPriority w:val="99"/>
    <w:semiHidden/>
    <w:unhideWhenUsed/>
    <w:rsid w:val="00877D8F"/>
    <w:rPr>
      <w:b/>
      <w:bCs/>
    </w:rPr>
  </w:style>
  <w:style w:type="character" w:customStyle="1" w:styleId="ObjetducommentaireCar">
    <w:name w:val="Objet du commentaire Car"/>
    <w:basedOn w:val="CommentaireCar"/>
    <w:link w:val="Objetducommentaire"/>
    <w:uiPriority w:val="99"/>
    <w:semiHidden/>
    <w:rsid w:val="00877D8F"/>
    <w:rPr>
      <w:b/>
      <w:bCs/>
      <w:sz w:val="20"/>
      <w:szCs w:val="20"/>
    </w:rPr>
  </w:style>
  <w:style w:type="table" w:styleId="Grilledutableau">
    <w:name w:val="Table Grid"/>
    <w:basedOn w:val="TableauNormal"/>
    <w:uiPriority w:val="59"/>
    <w:rsid w:val="00D02AF7"/>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2AF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375356">
      <w:bodyDiv w:val="1"/>
      <w:marLeft w:val="0"/>
      <w:marRight w:val="0"/>
      <w:marTop w:val="0"/>
      <w:marBottom w:val="0"/>
      <w:divBdr>
        <w:top w:val="none" w:sz="0" w:space="0" w:color="auto"/>
        <w:left w:val="none" w:sz="0" w:space="0" w:color="auto"/>
        <w:bottom w:val="none" w:sz="0" w:space="0" w:color="auto"/>
        <w:right w:val="none" w:sz="0" w:space="0" w:color="auto"/>
      </w:divBdr>
    </w:div>
    <w:div w:id="686248808">
      <w:bodyDiv w:val="1"/>
      <w:marLeft w:val="0"/>
      <w:marRight w:val="0"/>
      <w:marTop w:val="0"/>
      <w:marBottom w:val="0"/>
      <w:divBdr>
        <w:top w:val="none" w:sz="0" w:space="0" w:color="auto"/>
        <w:left w:val="none" w:sz="0" w:space="0" w:color="auto"/>
        <w:bottom w:val="none" w:sz="0" w:space="0" w:color="auto"/>
        <w:right w:val="none" w:sz="0" w:space="0" w:color="auto"/>
      </w:divBdr>
    </w:div>
    <w:div w:id="723020874">
      <w:bodyDiv w:val="1"/>
      <w:marLeft w:val="0"/>
      <w:marRight w:val="0"/>
      <w:marTop w:val="0"/>
      <w:marBottom w:val="0"/>
      <w:divBdr>
        <w:top w:val="none" w:sz="0" w:space="0" w:color="auto"/>
        <w:left w:val="none" w:sz="0" w:space="0" w:color="auto"/>
        <w:bottom w:val="none" w:sz="0" w:space="0" w:color="auto"/>
        <w:right w:val="none" w:sz="0" w:space="0" w:color="auto"/>
      </w:divBdr>
    </w:div>
    <w:div w:id="862327133">
      <w:bodyDiv w:val="1"/>
      <w:marLeft w:val="0"/>
      <w:marRight w:val="0"/>
      <w:marTop w:val="0"/>
      <w:marBottom w:val="0"/>
      <w:divBdr>
        <w:top w:val="none" w:sz="0" w:space="0" w:color="auto"/>
        <w:left w:val="none" w:sz="0" w:space="0" w:color="auto"/>
        <w:bottom w:val="none" w:sz="0" w:space="0" w:color="auto"/>
        <w:right w:val="none" w:sz="0" w:space="0" w:color="auto"/>
      </w:divBdr>
    </w:div>
    <w:div w:id="1794522324">
      <w:bodyDiv w:val="1"/>
      <w:marLeft w:val="0"/>
      <w:marRight w:val="0"/>
      <w:marTop w:val="0"/>
      <w:marBottom w:val="0"/>
      <w:divBdr>
        <w:top w:val="none" w:sz="0" w:space="0" w:color="auto"/>
        <w:left w:val="none" w:sz="0" w:space="0" w:color="auto"/>
        <w:bottom w:val="none" w:sz="0" w:space="0" w:color="auto"/>
        <w:right w:val="none" w:sz="0" w:space="0" w:color="auto"/>
      </w:divBdr>
    </w:div>
    <w:div w:id="1832870623">
      <w:bodyDiv w:val="1"/>
      <w:marLeft w:val="0"/>
      <w:marRight w:val="0"/>
      <w:marTop w:val="0"/>
      <w:marBottom w:val="0"/>
      <w:divBdr>
        <w:top w:val="none" w:sz="0" w:space="0" w:color="auto"/>
        <w:left w:val="none" w:sz="0" w:space="0" w:color="auto"/>
        <w:bottom w:val="none" w:sz="0" w:space="0" w:color="auto"/>
        <w:right w:val="none" w:sz="0" w:space="0" w:color="auto"/>
      </w:divBdr>
    </w:div>
    <w:div w:id="2046977001">
      <w:bodyDiv w:val="1"/>
      <w:marLeft w:val="0"/>
      <w:marRight w:val="0"/>
      <w:marTop w:val="0"/>
      <w:marBottom w:val="0"/>
      <w:divBdr>
        <w:top w:val="none" w:sz="0" w:space="0" w:color="auto"/>
        <w:left w:val="none" w:sz="0" w:space="0" w:color="auto"/>
        <w:bottom w:val="none" w:sz="0" w:space="0" w:color="auto"/>
        <w:right w:val="none" w:sz="0" w:space="0" w:color="auto"/>
      </w:divBdr>
    </w:div>
    <w:div w:id="2124574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12</Pages>
  <Words>4997</Words>
  <Characters>27487</Characters>
  <Application>Microsoft Office Word</Application>
  <DocSecurity>0</DocSecurity>
  <Lines>229</Lines>
  <Paragraphs>64</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32420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ADNOT</dc:creator>
  <cp:lastModifiedBy>WILKINSON Baptiste (UA 2775)</cp:lastModifiedBy>
  <cp:revision>8</cp:revision>
  <dcterms:created xsi:type="dcterms:W3CDTF">2020-12-17T17:15:00Z</dcterms:created>
  <dcterms:modified xsi:type="dcterms:W3CDTF">2022-12-29T16:30:00Z</dcterms:modified>
</cp:coreProperties>
</file>