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5D91F" w14:textId="16C4F12E" w:rsidR="008A07B2" w:rsidRPr="00C20B08" w:rsidRDefault="001A48CE" w:rsidP="008A07B2">
      <w:pPr>
        <w:rPr>
          <w:rFonts w:ascii="Garamond" w:hAnsi="Garamond"/>
          <w:lang w:val="en-US"/>
        </w:rPr>
      </w:pPr>
      <w:r w:rsidRPr="00186C94">
        <w:rPr>
          <w:noProof/>
          <w:color w:val="FFFFFF"/>
          <w:lang w:eastAsia="fr-FR"/>
        </w:rPr>
        <w:drawing>
          <wp:inline distT="0" distB="0" distL="0" distR="0" wp14:anchorId="56545B6A" wp14:editId="7D43D66F">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14:paraId="60B7341B" w14:textId="77777777" w:rsidR="008A07B2" w:rsidRPr="00EF423C" w:rsidRDefault="001B03FB" w:rsidP="008A07B2">
      <w:pPr>
        <w:jc w:val="center"/>
        <w:rPr>
          <w:rFonts w:ascii="Garamond" w:hAnsi="Garamond"/>
          <w:b/>
          <w:sz w:val="28"/>
          <w:szCs w:val="28"/>
        </w:rPr>
      </w:pPr>
      <w:r w:rsidRPr="00EF423C">
        <w:rPr>
          <w:rFonts w:ascii="Garamond" w:hAnsi="Garamond"/>
          <w:b/>
          <w:sz w:val="28"/>
          <w:szCs w:val="28"/>
        </w:rPr>
        <w:t xml:space="preserve">Guide </w:t>
      </w:r>
      <w:r w:rsidR="00A03BDE" w:rsidRPr="00EF423C">
        <w:rPr>
          <w:rFonts w:ascii="Garamond" w:hAnsi="Garamond"/>
          <w:b/>
          <w:sz w:val="28"/>
          <w:szCs w:val="28"/>
        </w:rPr>
        <w:t>méthodologique</w:t>
      </w:r>
      <w:r w:rsidRPr="00EF423C">
        <w:rPr>
          <w:rFonts w:ascii="Garamond" w:hAnsi="Garamond"/>
          <w:b/>
          <w:sz w:val="28"/>
          <w:szCs w:val="28"/>
        </w:rPr>
        <w:t xml:space="preserve"> </w:t>
      </w:r>
    </w:p>
    <w:p w14:paraId="6F56D256" w14:textId="77777777" w:rsidR="001B03FB" w:rsidRPr="00EF423C" w:rsidRDefault="001B03FB" w:rsidP="008A07B2">
      <w:pPr>
        <w:jc w:val="center"/>
        <w:rPr>
          <w:rFonts w:ascii="Garamond" w:hAnsi="Garamond"/>
          <w:b/>
          <w:sz w:val="28"/>
          <w:szCs w:val="28"/>
        </w:rPr>
      </w:pPr>
      <w:r w:rsidRPr="00EF423C">
        <w:rPr>
          <w:rFonts w:ascii="Garamond" w:hAnsi="Garamond"/>
          <w:b/>
          <w:sz w:val="28"/>
          <w:szCs w:val="28"/>
        </w:rPr>
        <w:t>Documents prudentiels européens quantitatifs à communiquer annuellement et trimestriellement par les organismes de retraite professionnelle supplémentaire</w:t>
      </w:r>
    </w:p>
    <w:p w14:paraId="70D027F9" w14:textId="77777777" w:rsidR="00A51514" w:rsidRPr="00C20B08" w:rsidRDefault="008A07B2" w:rsidP="008A07B2">
      <w:pPr>
        <w:spacing w:after="0" w:line="240" w:lineRule="auto"/>
        <w:jc w:val="center"/>
        <w:rPr>
          <w:rFonts w:ascii="Garamond" w:hAnsi="Garamond"/>
        </w:rPr>
      </w:pPr>
      <w:r w:rsidRPr="00C20B08">
        <w:rPr>
          <w:rFonts w:ascii="Garamond" w:hAnsi="Garamond"/>
        </w:rPr>
        <w:tab/>
      </w:r>
    </w:p>
    <w:p w14:paraId="7C9A69AC" w14:textId="77777777" w:rsidR="008A07B2" w:rsidRPr="00C20B08" w:rsidRDefault="008A07B2" w:rsidP="008A07B2">
      <w:pPr>
        <w:spacing w:after="0" w:line="240" w:lineRule="auto"/>
        <w:jc w:val="center"/>
        <w:rPr>
          <w:rFonts w:ascii="Garamond" w:hAnsi="Garamond"/>
        </w:rPr>
      </w:pPr>
    </w:p>
    <w:p w14:paraId="4AD4F32E" w14:textId="7CB1686A" w:rsidR="00611F68" w:rsidRDefault="00F7655D" w:rsidP="00611F68">
      <w:pPr>
        <w:pStyle w:val="Paragraphedeliste1"/>
        <w:ind w:left="0" w:firstLine="708"/>
        <w:rPr>
          <w:rFonts w:ascii="Garamond" w:hAnsi="Garamond"/>
          <w:szCs w:val="22"/>
        </w:rPr>
      </w:pPr>
      <w:r w:rsidRPr="00C20B08">
        <w:rPr>
          <w:rFonts w:ascii="Garamond" w:hAnsi="Garamond"/>
          <w:szCs w:val="22"/>
        </w:rPr>
        <w:t xml:space="preserve">Ce guide méthodologique traite des états </w:t>
      </w:r>
      <w:r w:rsidR="00B21AD9" w:rsidRPr="00C20B08">
        <w:rPr>
          <w:rFonts w:ascii="Garamond" w:hAnsi="Garamond"/>
          <w:szCs w:val="22"/>
        </w:rPr>
        <w:t xml:space="preserve">quantitatifs </w:t>
      </w:r>
      <w:r w:rsidRPr="00C20B08">
        <w:rPr>
          <w:rFonts w:ascii="Garamond" w:hAnsi="Garamond"/>
          <w:szCs w:val="22"/>
        </w:rPr>
        <w:t xml:space="preserve">présentés dans </w:t>
      </w:r>
      <w:r w:rsidR="00B170E1">
        <w:rPr>
          <w:rFonts w:ascii="Garamond" w:hAnsi="Garamond"/>
          <w:szCs w:val="22"/>
        </w:rPr>
        <w:t>l’instruction 2020-I-05.</w:t>
      </w:r>
    </w:p>
    <w:p w14:paraId="668203C0" w14:textId="77777777" w:rsidR="00F7655D" w:rsidRPr="00C20B08" w:rsidRDefault="00532E8A" w:rsidP="00611F68">
      <w:pPr>
        <w:pStyle w:val="Paragraphedeliste1"/>
        <w:ind w:left="0" w:firstLine="708"/>
        <w:rPr>
          <w:rFonts w:ascii="Garamond" w:hAnsi="Garamond"/>
          <w:szCs w:val="22"/>
        </w:rPr>
      </w:pPr>
      <w:r w:rsidRPr="00C20B08">
        <w:rPr>
          <w:rFonts w:ascii="Garamond" w:hAnsi="Garamond"/>
          <w:szCs w:val="22"/>
        </w:rPr>
        <w:t xml:space="preserve"> </w:t>
      </w:r>
    </w:p>
    <w:p w14:paraId="24D6C700" w14:textId="77777777" w:rsidR="00CD4C41" w:rsidRPr="00C20B08" w:rsidRDefault="00CD4C41" w:rsidP="00CD4C41">
      <w:pPr>
        <w:spacing w:after="0" w:line="240" w:lineRule="auto"/>
        <w:jc w:val="center"/>
        <w:rPr>
          <w:rFonts w:ascii="Garamond" w:eastAsia="Times New Roman" w:hAnsi="Garamond" w:cs="Times New Roman"/>
          <w:b/>
          <w:color w:val="003B8E"/>
          <w:lang w:eastAsia="fr-FR"/>
        </w:rPr>
      </w:pPr>
    </w:p>
    <w:p w14:paraId="5E9D1434" w14:textId="77777777" w:rsidR="00CD4C41" w:rsidRPr="00C20B08" w:rsidRDefault="00CD4C41" w:rsidP="00F7655D">
      <w:pPr>
        <w:spacing w:after="0" w:line="240" w:lineRule="auto"/>
        <w:rPr>
          <w:rFonts w:ascii="Garamond" w:eastAsia="Times New Roman" w:hAnsi="Garamond" w:cs="Times New Roman"/>
          <w:b/>
          <w:color w:val="003B8E"/>
          <w:lang w:eastAsia="fr-FR"/>
        </w:rPr>
      </w:pPr>
    </w:p>
    <w:p w14:paraId="4B1CFA7D" w14:textId="77777777" w:rsidR="00CA246B" w:rsidRPr="00CA246B" w:rsidRDefault="00CA246B" w:rsidP="00CA246B">
      <w:pPr>
        <w:spacing w:after="0" w:line="240" w:lineRule="auto"/>
        <w:jc w:val="center"/>
        <w:rPr>
          <w:rFonts w:ascii="Garamond" w:eastAsia="Times New Roman" w:hAnsi="Garamond" w:cs="Times New Roman"/>
          <w:b/>
          <w:color w:val="003B8E"/>
          <w:sz w:val="24"/>
          <w:szCs w:val="24"/>
          <w:lang w:eastAsia="fr-FR"/>
        </w:rPr>
      </w:pPr>
      <w:r w:rsidRPr="00CA246B">
        <w:rPr>
          <w:rFonts w:ascii="Garamond" w:eastAsia="Times New Roman" w:hAnsi="Garamond" w:cs="Times New Roman"/>
          <w:b/>
          <w:color w:val="003B8E"/>
          <w:sz w:val="24"/>
          <w:szCs w:val="24"/>
          <w:lang w:eastAsia="fr-FR"/>
        </w:rPr>
        <w:t>PFE.01.02.30</w:t>
      </w:r>
      <w:r>
        <w:rPr>
          <w:rFonts w:ascii="Garamond" w:eastAsia="Times New Roman" w:hAnsi="Garamond" w:cs="Times New Roman"/>
          <w:b/>
          <w:color w:val="003B8E"/>
          <w:sz w:val="24"/>
          <w:szCs w:val="24"/>
          <w:lang w:eastAsia="fr-FR"/>
        </w:rPr>
        <w:t xml:space="preserve"> (Annuel)</w:t>
      </w:r>
    </w:p>
    <w:p w14:paraId="31C260F5" w14:textId="77777777" w:rsidR="00CA246B" w:rsidRPr="00CA246B" w:rsidRDefault="00CA246B" w:rsidP="00CA246B">
      <w:pPr>
        <w:spacing w:after="0" w:line="240" w:lineRule="auto"/>
        <w:jc w:val="center"/>
        <w:rPr>
          <w:rFonts w:ascii="Garamond" w:eastAsia="Times New Roman" w:hAnsi="Garamond" w:cs="Times New Roman"/>
          <w:b/>
          <w:color w:val="003B8E"/>
          <w:sz w:val="24"/>
          <w:szCs w:val="24"/>
          <w:lang w:eastAsia="fr-FR"/>
        </w:rPr>
      </w:pPr>
      <w:r w:rsidRPr="00CA246B">
        <w:rPr>
          <w:rFonts w:ascii="Garamond" w:eastAsia="Times New Roman" w:hAnsi="Garamond" w:cs="Times New Roman"/>
          <w:b/>
          <w:color w:val="003B8E"/>
          <w:sz w:val="24"/>
          <w:szCs w:val="24"/>
          <w:lang w:eastAsia="fr-FR"/>
        </w:rPr>
        <w:t xml:space="preserve">PFE.01.02.31 </w:t>
      </w:r>
      <w:r>
        <w:rPr>
          <w:rFonts w:ascii="Garamond" w:eastAsia="Times New Roman" w:hAnsi="Garamond" w:cs="Times New Roman"/>
          <w:b/>
          <w:color w:val="003B8E"/>
          <w:sz w:val="24"/>
          <w:szCs w:val="24"/>
          <w:lang w:eastAsia="fr-FR"/>
        </w:rPr>
        <w:t>(Trimestriel)</w:t>
      </w:r>
    </w:p>
    <w:p w14:paraId="090E5ECA" w14:textId="77777777" w:rsidR="00CA246B" w:rsidRPr="00CA246B" w:rsidRDefault="00CA246B" w:rsidP="00CA246B">
      <w:pPr>
        <w:ind w:left="2832" w:firstLine="708"/>
        <w:rPr>
          <w:rStyle w:val="Lienhypertexte"/>
          <w:rFonts w:ascii="Garamond" w:eastAsia="Times New Roman" w:hAnsi="Garamond" w:cs="Times New Roman"/>
          <w:b/>
          <w:color w:val="003B8E"/>
          <w:sz w:val="24"/>
          <w:szCs w:val="24"/>
          <w:u w:val="none"/>
          <w:lang w:eastAsia="fr-FR"/>
        </w:rPr>
      </w:pPr>
      <w:r w:rsidRPr="00CA246B">
        <w:rPr>
          <w:rFonts w:ascii="Garamond" w:eastAsia="Times New Roman" w:hAnsi="Garamond" w:cs="Times New Roman"/>
          <w:b/>
          <w:color w:val="003B8E"/>
          <w:sz w:val="24"/>
          <w:szCs w:val="24"/>
          <w:lang w:eastAsia="fr-FR"/>
        </w:rPr>
        <w:t>Information générale</w:t>
      </w:r>
    </w:p>
    <w:p w14:paraId="07571F50" w14:textId="14DBDBFC" w:rsidR="00CA246B" w:rsidRPr="00C20B08" w:rsidRDefault="00CA246B" w:rsidP="00CA246B">
      <w:pPr>
        <w:pStyle w:val="Paragraphedeliste1"/>
        <w:ind w:left="0"/>
        <w:rPr>
          <w:rFonts w:ascii="Garamond" w:hAnsi="Garamond"/>
          <w:szCs w:val="22"/>
        </w:rPr>
      </w:pPr>
      <w:r w:rsidRPr="00C20B08">
        <w:rPr>
          <w:rFonts w:ascii="Garamond" w:hAnsi="Garamond"/>
          <w:szCs w:val="22"/>
        </w:rPr>
        <w:t>Général :</w:t>
      </w:r>
      <w:r>
        <w:rPr>
          <w:rFonts w:ascii="Garamond" w:hAnsi="Garamond"/>
          <w:szCs w:val="22"/>
        </w:rPr>
        <w:t xml:space="preserve"> </w:t>
      </w:r>
      <w:r w:rsidRPr="00C20B08">
        <w:rPr>
          <w:rFonts w:ascii="Garamond" w:hAnsi="Garamond"/>
          <w:szCs w:val="22"/>
        </w:rPr>
        <w:t xml:space="preserve">Cet onglet contient entre </w:t>
      </w:r>
      <w:proofErr w:type="gramStart"/>
      <w:r w:rsidRPr="00C20B08">
        <w:rPr>
          <w:rFonts w:ascii="Garamond" w:hAnsi="Garamond"/>
          <w:szCs w:val="22"/>
        </w:rPr>
        <w:t>autres  informations</w:t>
      </w:r>
      <w:proofErr w:type="gramEnd"/>
      <w:r w:rsidRPr="00C20B08">
        <w:rPr>
          <w:rFonts w:ascii="Garamond" w:hAnsi="Garamond"/>
          <w:szCs w:val="22"/>
        </w:rPr>
        <w:t xml:space="preserve"> d’identification d</w:t>
      </w:r>
      <w:r w:rsidR="009A20E8">
        <w:rPr>
          <w:rFonts w:ascii="Garamond" w:hAnsi="Garamond"/>
          <w:szCs w:val="22"/>
        </w:rPr>
        <w:t>e l’O</w:t>
      </w:r>
      <w:r w:rsidRPr="00C20B08">
        <w:rPr>
          <w:rFonts w:ascii="Garamond" w:hAnsi="Garamond"/>
          <w:szCs w:val="22"/>
        </w:rPr>
        <w:t xml:space="preserve">RPS. Il reprend le nom, statut juridique et les références de l’entité. </w:t>
      </w:r>
    </w:p>
    <w:p w14:paraId="3458EED2" w14:textId="77777777" w:rsidR="00CA246B" w:rsidRPr="00C20B08" w:rsidRDefault="00CA246B" w:rsidP="00CA246B">
      <w:pPr>
        <w:pStyle w:val="Paragraphedeliste1"/>
        <w:ind w:left="0"/>
        <w:rPr>
          <w:rFonts w:ascii="Garamond" w:hAnsi="Garamond"/>
          <w:b/>
          <w:szCs w:val="22"/>
        </w:rPr>
      </w:pPr>
    </w:p>
    <w:p w14:paraId="52CEAEF4" w14:textId="77777777" w:rsidR="00CA246B" w:rsidRPr="00C20B08" w:rsidRDefault="00CA246B" w:rsidP="00CA246B">
      <w:pPr>
        <w:pStyle w:val="Paragraphedeliste1"/>
        <w:rPr>
          <w:rFonts w:ascii="Garamond" w:hAnsi="Garamond"/>
          <w:szCs w:val="22"/>
        </w:rPr>
      </w:pPr>
    </w:p>
    <w:p w14:paraId="5E1A971D" w14:textId="77777777" w:rsidR="00CA246B" w:rsidRPr="00C20B08" w:rsidRDefault="00CA246B" w:rsidP="00CA246B">
      <w:pPr>
        <w:pStyle w:val="Paragraphedeliste"/>
        <w:numPr>
          <w:ilvl w:val="0"/>
          <w:numId w:val="6"/>
        </w:numPr>
        <w:spacing w:before="120" w:after="0" w:line="240" w:lineRule="auto"/>
        <w:ind w:left="1077" w:hanging="357"/>
        <w:rPr>
          <w:rFonts w:ascii="Garamond" w:hAnsi="Garamond"/>
          <w:b/>
        </w:rPr>
      </w:pPr>
      <w:r w:rsidRPr="00C20B08">
        <w:rPr>
          <w:rFonts w:ascii="Garamond" w:eastAsia="Times New Roman" w:hAnsi="Garamond" w:cs="Times New Roman"/>
          <w:b/>
          <w:lang w:eastAsia="fr-FR"/>
        </w:rPr>
        <w:t>Colonnes</w:t>
      </w:r>
    </w:p>
    <w:p w14:paraId="3D241086" w14:textId="77777777" w:rsidR="00CA246B" w:rsidRPr="00C20B08" w:rsidRDefault="00CA246B" w:rsidP="00CA246B">
      <w:pPr>
        <w:pStyle w:val="Paragraphedeliste1"/>
        <w:ind w:left="0"/>
        <w:rPr>
          <w:rFonts w:ascii="Garamond" w:hAnsi="Garamond"/>
          <w:szCs w:val="22"/>
        </w:rPr>
      </w:pPr>
    </w:p>
    <w:p w14:paraId="2B9AA81E" w14:textId="77777777" w:rsidR="00CA246B" w:rsidRPr="00C20B08" w:rsidRDefault="00CA246B" w:rsidP="00CA246B">
      <w:pPr>
        <w:pStyle w:val="Paragraphedeliste1"/>
        <w:spacing w:before="20"/>
        <w:ind w:left="0"/>
        <w:contextualSpacing w:val="0"/>
        <w:rPr>
          <w:rFonts w:ascii="Garamond" w:hAnsi="Garamond"/>
          <w:szCs w:val="22"/>
        </w:rPr>
      </w:pPr>
      <w:r w:rsidRPr="00C20B08">
        <w:rPr>
          <w:rFonts w:ascii="Garamond" w:eastAsia="Calibri" w:hAnsi="Garamond"/>
          <w:szCs w:val="22"/>
          <w:lang w:eastAsia="ar-SA"/>
        </w:rPr>
        <w:t>Le tableau de l’état comporte une seule colonne </w:t>
      </w:r>
      <w:r w:rsidRPr="00C20B08">
        <w:rPr>
          <w:rFonts w:ascii="Garamond" w:hAnsi="Garamond"/>
          <w:szCs w:val="22"/>
        </w:rPr>
        <w:t>C0010 </w:t>
      </w:r>
    </w:p>
    <w:p w14:paraId="67304CA8" w14:textId="77777777" w:rsidR="00CA246B" w:rsidRPr="00C20B08" w:rsidRDefault="00CA246B" w:rsidP="00CA246B">
      <w:pPr>
        <w:pStyle w:val="Paragraphedeliste1"/>
        <w:spacing w:before="20"/>
        <w:ind w:left="0"/>
        <w:contextualSpacing w:val="0"/>
        <w:rPr>
          <w:rFonts w:ascii="Garamond" w:eastAsia="Calibri" w:hAnsi="Garamond"/>
          <w:szCs w:val="22"/>
          <w:lang w:eastAsia="ar-SA"/>
        </w:rPr>
      </w:pPr>
      <w:r w:rsidRPr="00C20B08">
        <w:rPr>
          <w:rFonts w:ascii="Garamond" w:hAnsi="Garamond"/>
          <w:szCs w:val="22"/>
        </w:rPr>
        <w:t xml:space="preserve">Les données ne sont pas numériques et sont normées selon leur nature : codes, dates... </w:t>
      </w:r>
    </w:p>
    <w:p w14:paraId="42F9A6FE" w14:textId="77777777" w:rsidR="00CA246B" w:rsidRPr="00C20B08" w:rsidRDefault="00CA246B" w:rsidP="00CA246B">
      <w:pPr>
        <w:pStyle w:val="Paragraphedeliste1"/>
        <w:spacing w:before="20"/>
        <w:ind w:left="0"/>
        <w:contextualSpacing w:val="0"/>
        <w:rPr>
          <w:rFonts w:ascii="Garamond" w:hAnsi="Garamond"/>
          <w:szCs w:val="22"/>
          <w:u w:val="single"/>
        </w:rPr>
      </w:pPr>
    </w:p>
    <w:p w14:paraId="7E882F91" w14:textId="77777777" w:rsidR="00CA246B" w:rsidRPr="00C20B08" w:rsidRDefault="00CA246B" w:rsidP="00CA246B">
      <w:pPr>
        <w:pStyle w:val="Paragraphedeliste"/>
        <w:numPr>
          <w:ilvl w:val="0"/>
          <w:numId w:val="6"/>
        </w:numPr>
        <w:spacing w:after="0" w:line="240" w:lineRule="auto"/>
        <w:rPr>
          <w:rFonts w:ascii="Garamond" w:hAnsi="Garamond" w:cs="Times New Roman"/>
          <w:b/>
        </w:rPr>
      </w:pPr>
      <w:r w:rsidRPr="00C20B08">
        <w:rPr>
          <w:rFonts w:ascii="Garamond" w:hAnsi="Garamond" w:cs="Times New Roman"/>
          <w:b/>
        </w:rPr>
        <w:t>Lignes</w:t>
      </w:r>
    </w:p>
    <w:p w14:paraId="4995D0F3" w14:textId="77777777" w:rsidR="00CA246B" w:rsidRPr="00C20B08" w:rsidRDefault="00CA246B" w:rsidP="00CA246B">
      <w:pPr>
        <w:spacing w:after="0" w:line="240" w:lineRule="auto"/>
        <w:jc w:val="center"/>
        <w:rPr>
          <w:rFonts w:ascii="Garamond" w:hAnsi="Garamond"/>
        </w:rPr>
      </w:pPr>
    </w:p>
    <w:tbl>
      <w:tblPr>
        <w:tblpPr w:leftFromText="141" w:rightFromText="141" w:vertAnchor="text" w:tblpX="-318" w:tblpY="1"/>
        <w:tblOverlap w:val="neve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879"/>
        <w:gridCol w:w="5709"/>
      </w:tblGrid>
      <w:tr w:rsidR="00CA246B" w:rsidRPr="00C20B08" w14:paraId="4DD96884" w14:textId="77777777" w:rsidTr="007C0354">
        <w:trPr>
          <w:cantSplit/>
        </w:trPr>
        <w:tc>
          <w:tcPr>
            <w:tcW w:w="1335" w:type="pct"/>
          </w:tcPr>
          <w:p w14:paraId="137DDD1C" w14:textId="77777777" w:rsidR="00CA246B" w:rsidRPr="00C20B08" w:rsidRDefault="00CA246B" w:rsidP="00E24DAF">
            <w:pPr>
              <w:rPr>
                <w:rFonts w:ascii="Garamond" w:hAnsi="Garamond"/>
                <w:b/>
              </w:rPr>
            </w:pPr>
            <w:r w:rsidRPr="00C20B08">
              <w:rPr>
                <w:rFonts w:ascii="Garamond" w:hAnsi="Garamond"/>
                <w:b/>
              </w:rPr>
              <w:t>Intitulé</w:t>
            </w:r>
          </w:p>
        </w:tc>
        <w:tc>
          <w:tcPr>
            <w:tcW w:w="489" w:type="pct"/>
          </w:tcPr>
          <w:p w14:paraId="5E98450D" w14:textId="77777777" w:rsidR="00CA246B" w:rsidRPr="00C20B08" w:rsidRDefault="00CA246B" w:rsidP="00E24DAF">
            <w:pPr>
              <w:jc w:val="both"/>
              <w:rPr>
                <w:rFonts w:ascii="Garamond" w:hAnsi="Garamond"/>
                <w:b/>
              </w:rPr>
            </w:pPr>
            <w:r w:rsidRPr="00C20B08">
              <w:rPr>
                <w:rFonts w:ascii="Garamond" w:hAnsi="Garamond"/>
                <w:b/>
              </w:rPr>
              <w:t>Ligne</w:t>
            </w:r>
          </w:p>
        </w:tc>
        <w:tc>
          <w:tcPr>
            <w:tcW w:w="3176" w:type="pct"/>
          </w:tcPr>
          <w:p w14:paraId="129DE150" w14:textId="77777777" w:rsidR="00CA246B" w:rsidRPr="00C20B08" w:rsidRDefault="00CA246B" w:rsidP="00E24DAF">
            <w:pPr>
              <w:rPr>
                <w:rFonts w:ascii="Garamond" w:hAnsi="Garamond"/>
                <w:b/>
              </w:rPr>
            </w:pPr>
            <w:r w:rsidRPr="00C20B08">
              <w:rPr>
                <w:rFonts w:ascii="Garamond" w:hAnsi="Garamond"/>
                <w:b/>
              </w:rPr>
              <w:t>Définition et formule</w:t>
            </w:r>
          </w:p>
        </w:tc>
      </w:tr>
      <w:tr w:rsidR="00CA246B" w:rsidRPr="00B26303" w14:paraId="0F797DE2" w14:textId="77777777" w:rsidTr="007C0354">
        <w:trPr>
          <w:cantSplit/>
        </w:trPr>
        <w:tc>
          <w:tcPr>
            <w:tcW w:w="1335" w:type="pct"/>
          </w:tcPr>
          <w:p w14:paraId="288B8179" w14:textId="77777777" w:rsidR="00CA246B" w:rsidRPr="00C20B08" w:rsidRDefault="00CA246B" w:rsidP="00CB5C80">
            <w:pPr>
              <w:snapToGrid w:val="0"/>
              <w:spacing w:after="0"/>
              <w:rPr>
                <w:rFonts w:ascii="Garamond" w:hAnsi="Garamond"/>
              </w:rPr>
            </w:pPr>
            <w:r w:rsidRPr="00C20B08">
              <w:rPr>
                <w:rFonts w:ascii="Garamond" w:hAnsi="Garamond"/>
              </w:rPr>
              <w:t>Pays d’agrément</w:t>
            </w:r>
          </w:p>
        </w:tc>
        <w:tc>
          <w:tcPr>
            <w:tcW w:w="489" w:type="pct"/>
          </w:tcPr>
          <w:p w14:paraId="0AF2B98E" w14:textId="77777777" w:rsidR="00CA246B" w:rsidRPr="00C20B08" w:rsidRDefault="00CA246B" w:rsidP="00CB5C80">
            <w:pPr>
              <w:snapToGrid w:val="0"/>
              <w:spacing w:after="0"/>
              <w:jc w:val="both"/>
              <w:rPr>
                <w:rFonts w:ascii="Garamond" w:hAnsi="Garamond"/>
              </w:rPr>
            </w:pPr>
            <w:r>
              <w:rPr>
                <w:rFonts w:ascii="Garamond" w:hAnsi="Garamond"/>
              </w:rPr>
              <w:t xml:space="preserve">C0010/ </w:t>
            </w:r>
            <w:r w:rsidRPr="00C20B08">
              <w:rPr>
                <w:rFonts w:ascii="Garamond" w:hAnsi="Garamond"/>
              </w:rPr>
              <w:t>R0010</w:t>
            </w:r>
          </w:p>
        </w:tc>
        <w:tc>
          <w:tcPr>
            <w:tcW w:w="3176" w:type="pct"/>
          </w:tcPr>
          <w:p w14:paraId="1CC531B6" w14:textId="77777777" w:rsidR="00CA246B" w:rsidRPr="00CA246B" w:rsidRDefault="00CA246B" w:rsidP="00CB5C80">
            <w:pPr>
              <w:snapToGrid w:val="0"/>
              <w:spacing w:after="0"/>
              <w:rPr>
                <w:rFonts w:ascii="Garamond" w:hAnsi="Garamond"/>
                <w:b/>
                <w:u w:val="single"/>
              </w:rPr>
            </w:pPr>
            <w:r w:rsidRPr="00CA246B">
              <w:rPr>
                <w:rFonts w:ascii="Garamond" w:hAnsi="Garamond"/>
                <w:b/>
                <w:u w:val="single"/>
              </w:rPr>
              <w:t>Annuel et Trimestriel</w:t>
            </w:r>
          </w:p>
          <w:p w14:paraId="19529060" w14:textId="1018C8D4" w:rsidR="00CA246B" w:rsidRPr="00CB5C80" w:rsidRDefault="00CA246B" w:rsidP="004E79CD">
            <w:pPr>
              <w:snapToGrid w:val="0"/>
              <w:spacing w:after="0"/>
              <w:rPr>
                <w:rFonts w:ascii="Garamond" w:hAnsi="Garamond"/>
                <w:i/>
                <w:color w:val="0000FF" w:themeColor="hyperlink"/>
                <w:u w:val="single"/>
              </w:rPr>
            </w:pPr>
            <w:r w:rsidRPr="00C20B08">
              <w:rPr>
                <w:rFonts w:ascii="Garamond" w:hAnsi="Garamond"/>
              </w:rPr>
              <w:t xml:space="preserve">L’organisme doit remplir le code ISO 3166 du pays d’origine, pays où le fonds de pension / </w:t>
            </w:r>
            <w:r w:rsidR="00C55724">
              <w:rPr>
                <w:rFonts w:ascii="Garamond" w:hAnsi="Garamond"/>
              </w:rPr>
              <w:t>O</w:t>
            </w:r>
            <w:r w:rsidRPr="00C20B08">
              <w:rPr>
                <w:rFonts w:ascii="Garamond" w:hAnsi="Garamond"/>
              </w:rPr>
              <w:t xml:space="preserve">RPS a reçu l’agrément. Il s’agit du code normé en deux lettres. Pour la </w:t>
            </w:r>
            <w:r w:rsidR="000721D4">
              <w:rPr>
                <w:rFonts w:ascii="Garamond" w:hAnsi="Garamond"/>
              </w:rPr>
              <w:t>France :</w:t>
            </w:r>
            <w:r w:rsidRPr="00C20B08">
              <w:rPr>
                <w:rFonts w:ascii="Garamond" w:hAnsi="Garamond"/>
              </w:rPr>
              <w:t xml:space="preserve"> </w:t>
            </w:r>
            <w:r w:rsidR="000721D4">
              <w:rPr>
                <w:rFonts w:ascii="Garamond" w:hAnsi="Garamond"/>
              </w:rPr>
              <w:t>‘</w:t>
            </w:r>
            <w:r w:rsidRPr="00C20B08">
              <w:rPr>
                <w:rFonts w:ascii="Garamond" w:hAnsi="Garamond"/>
              </w:rPr>
              <w:t>FR</w:t>
            </w:r>
            <w:r w:rsidR="000721D4">
              <w:rPr>
                <w:rFonts w:ascii="Garamond" w:hAnsi="Garamond"/>
              </w:rPr>
              <w:t>’</w:t>
            </w:r>
            <w:r w:rsidRPr="00C20B08">
              <w:rPr>
                <w:rFonts w:ascii="Garamond" w:hAnsi="Garamond"/>
              </w:rPr>
              <w:t>.</w:t>
            </w:r>
          </w:p>
        </w:tc>
      </w:tr>
      <w:tr w:rsidR="004E79CD" w:rsidRPr="00B26303" w14:paraId="23013C65" w14:textId="77777777" w:rsidTr="007C0354">
        <w:trPr>
          <w:cantSplit/>
        </w:trPr>
        <w:tc>
          <w:tcPr>
            <w:tcW w:w="1335" w:type="pct"/>
          </w:tcPr>
          <w:p w14:paraId="64C09000" w14:textId="20FA8BDF" w:rsidR="004E79CD" w:rsidRPr="00C20B08" w:rsidRDefault="004E79CD" w:rsidP="00CB5C80">
            <w:pPr>
              <w:snapToGrid w:val="0"/>
              <w:spacing w:after="0"/>
              <w:rPr>
                <w:rFonts w:ascii="Garamond" w:hAnsi="Garamond"/>
              </w:rPr>
            </w:pPr>
            <w:r w:rsidRPr="004E79CD">
              <w:rPr>
                <w:rFonts w:ascii="Garamond" w:hAnsi="Garamond"/>
              </w:rPr>
              <w:t>Langue de déclaration</w:t>
            </w:r>
          </w:p>
        </w:tc>
        <w:tc>
          <w:tcPr>
            <w:tcW w:w="489" w:type="pct"/>
          </w:tcPr>
          <w:p w14:paraId="4A6139CC" w14:textId="13FC44DC" w:rsidR="004E79CD" w:rsidRDefault="004E79CD" w:rsidP="004E79CD">
            <w:pPr>
              <w:snapToGrid w:val="0"/>
              <w:spacing w:after="0"/>
              <w:jc w:val="both"/>
              <w:rPr>
                <w:rFonts w:ascii="Garamond" w:hAnsi="Garamond"/>
              </w:rPr>
            </w:pPr>
            <w:r>
              <w:rPr>
                <w:rFonts w:ascii="Garamond" w:hAnsi="Garamond"/>
              </w:rPr>
              <w:t>C0010/ R0015</w:t>
            </w:r>
          </w:p>
        </w:tc>
        <w:tc>
          <w:tcPr>
            <w:tcW w:w="3176" w:type="pct"/>
          </w:tcPr>
          <w:p w14:paraId="3BFCEC84" w14:textId="3BFB3B13" w:rsidR="004E79CD" w:rsidRPr="007B1E31" w:rsidRDefault="004E79CD" w:rsidP="000F4479">
            <w:pPr>
              <w:snapToGrid w:val="0"/>
              <w:spacing w:after="0"/>
              <w:rPr>
                <w:rFonts w:ascii="Garamond" w:hAnsi="Garamond"/>
                <w:b/>
                <w:u w:val="single"/>
              </w:rPr>
            </w:pPr>
            <w:r w:rsidRPr="00CA246B">
              <w:rPr>
                <w:rFonts w:ascii="Garamond" w:hAnsi="Garamond"/>
                <w:b/>
                <w:u w:val="single"/>
              </w:rPr>
              <w:t>Annuel et Trimestriel</w:t>
            </w:r>
          </w:p>
          <w:p w14:paraId="77832BAA" w14:textId="6C9F729D" w:rsidR="004E79CD" w:rsidRPr="007B1E31" w:rsidRDefault="004E79CD" w:rsidP="004E79CD">
            <w:pPr>
              <w:snapToGrid w:val="0"/>
              <w:spacing w:after="0"/>
              <w:rPr>
                <w:rFonts w:ascii="Garamond" w:hAnsi="Garamond"/>
              </w:rPr>
            </w:pPr>
            <w:r w:rsidRPr="007B1E31">
              <w:rPr>
                <w:rFonts w:ascii="Garamond" w:hAnsi="Garamond"/>
              </w:rPr>
              <w:t>Indiquer le code à 2 lettres ISO 639-1 de la langue utilisée pour</w:t>
            </w:r>
          </w:p>
          <w:p w14:paraId="0EF3333C" w14:textId="7E2F1D87" w:rsidR="004E79CD" w:rsidRPr="00CA246B" w:rsidRDefault="004E79CD" w:rsidP="004E79CD">
            <w:pPr>
              <w:snapToGrid w:val="0"/>
              <w:spacing w:after="0"/>
              <w:rPr>
                <w:rFonts w:ascii="Garamond" w:hAnsi="Garamond"/>
                <w:b/>
                <w:u w:val="single"/>
              </w:rPr>
            </w:pPr>
            <w:r w:rsidRPr="007B1E31">
              <w:rPr>
                <w:rFonts w:ascii="Garamond" w:hAnsi="Garamond"/>
              </w:rPr>
              <w:t>déclarer les informations</w:t>
            </w:r>
          </w:p>
        </w:tc>
      </w:tr>
      <w:tr w:rsidR="00CA246B" w:rsidRPr="000721D4" w14:paraId="444E130C" w14:textId="77777777" w:rsidTr="007C0354">
        <w:trPr>
          <w:cantSplit/>
        </w:trPr>
        <w:tc>
          <w:tcPr>
            <w:tcW w:w="1335" w:type="pct"/>
          </w:tcPr>
          <w:p w14:paraId="42DEF3C2" w14:textId="77777777" w:rsidR="00CA246B" w:rsidRPr="00C20B08" w:rsidRDefault="00CA246B" w:rsidP="001A48CE">
            <w:pPr>
              <w:suppressAutoHyphens/>
              <w:snapToGrid w:val="0"/>
              <w:spacing w:after="0"/>
              <w:rPr>
                <w:rFonts w:ascii="Garamond" w:hAnsi="Garamond" w:cs="Times New Roman"/>
                <w:iCs/>
              </w:rPr>
            </w:pPr>
            <w:r w:rsidRPr="00C20B08">
              <w:rPr>
                <w:rFonts w:ascii="Garamond" w:hAnsi="Garamond" w:cs="Times New Roman"/>
                <w:iCs/>
              </w:rPr>
              <w:t>Date de déclaration</w:t>
            </w:r>
          </w:p>
        </w:tc>
        <w:tc>
          <w:tcPr>
            <w:tcW w:w="489" w:type="pct"/>
          </w:tcPr>
          <w:p w14:paraId="7E3A3D34" w14:textId="77777777" w:rsidR="00CA246B" w:rsidRPr="00C20B08" w:rsidRDefault="00857CF4" w:rsidP="00CB5C80">
            <w:pPr>
              <w:snapToGrid w:val="0"/>
              <w:spacing w:after="0"/>
              <w:jc w:val="both"/>
              <w:rPr>
                <w:rFonts w:ascii="Garamond" w:hAnsi="Garamond"/>
              </w:rPr>
            </w:pPr>
            <w:r>
              <w:rPr>
                <w:rFonts w:ascii="Garamond" w:hAnsi="Garamond"/>
              </w:rPr>
              <w:t xml:space="preserve">C0010/ </w:t>
            </w:r>
            <w:r w:rsidR="00CA246B" w:rsidRPr="00C20B08">
              <w:rPr>
                <w:rFonts w:ascii="Garamond" w:hAnsi="Garamond"/>
              </w:rPr>
              <w:t>R0020</w:t>
            </w:r>
          </w:p>
        </w:tc>
        <w:tc>
          <w:tcPr>
            <w:tcW w:w="3176" w:type="pct"/>
          </w:tcPr>
          <w:p w14:paraId="1B4AEB07" w14:textId="77777777" w:rsidR="00CA246B" w:rsidRPr="00CA246B" w:rsidRDefault="00CA246B" w:rsidP="00CB5C80">
            <w:pPr>
              <w:snapToGrid w:val="0"/>
              <w:spacing w:after="0"/>
              <w:rPr>
                <w:rFonts w:ascii="Garamond" w:hAnsi="Garamond"/>
                <w:b/>
                <w:u w:val="single"/>
              </w:rPr>
            </w:pPr>
            <w:r w:rsidRPr="00CA246B">
              <w:rPr>
                <w:rFonts w:ascii="Garamond" w:hAnsi="Garamond"/>
                <w:b/>
                <w:u w:val="single"/>
              </w:rPr>
              <w:t>Annuel et Trimestriel</w:t>
            </w:r>
          </w:p>
          <w:p w14:paraId="0A99AB52" w14:textId="673F5D2F" w:rsidR="00CA246B" w:rsidRPr="00CB5C80" w:rsidRDefault="00CA246B" w:rsidP="00CB5C80">
            <w:pPr>
              <w:snapToGrid w:val="0"/>
              <w:spacing w:after="0"/>
              <w:rPr>
                <w:rFonts w:ascii="Garamond" w:hAnsi="Garamond"/>
              </w:rPr>
            </w:pPr>
            <w:r w:rsidRPr="00C20B08">
              <w:rPr>
                <w:rFonts w:ascii="Garamond" w:hAnsi="Garamond"/>
              </w:rPr>
              <w:t xml:space="preserve">L’organisme doit remplir la date de soumission du </w:t>
            </w:r>
            <w:proofErr w:type="spellStart"/>
            <w:r w:rsidRPr="00C20B08">
              <w:rPr>
                <w:rFonts w:ascii="Garamond" w:hAnsi="Garamond"/>
              </w:rPr>
              <w:t>reporting</w:t>
            </w:r>
            <w:proofErr w:type="spellEnd"/>
            <w:r w:rsidRPr="00C20B08">
              <w:rPr>
                <w:rFonts w:ascii="Garamond" w:hAnsi="Garamond"/>
              </w:rPr>
              <w:t xml:space="preserve">; le format de cette date est défini </w:t>
            </w:r>
            <w:r w:rsidR="000721D4">
              <w:rPr>
                <w:rFonts w:ascii="Garamond" w:hAnsi="Garamond"/>
              </w:rPr>
              <w:t>selon</w:t>
            </w:r>
            <w:r w:rsidR="000721D4" w:rsidRPr="00C20B08">
              <w:rPr>
                <w:rFonts w:ascii="Garamond" w:hAnsi="Garamond"/>
              </w:rPr>
              <w:t xml:space="preserve"> </w:t>
            </w:r>
            <w:r w:rsidRPr="00C20B08">
              <w:rPr>
                <w:rFonts w:ascii="Garamond" w:hAnsi="Garamond"/>
              </w:rPr>
              <w:t>la norme ISO 8601 (</w:t>
            </w:r>
            <w:proofErr w:type="spellStart"/>
            <w:r w:rsidRPr="00C20B08">
              <w:rPr>
                <w:rFonts w:ascii="Garamond" w:hAnsi="Garamond"/>
              </w:rPr>
              <w:t>yyyy</w:t>
            </w:r>
            <w:proofErr w:type="spellEnd"/>
            <w:r w:rsidRPr="00C20B08">
              <w:rPr>
                <w:rFonts w:ascii="Garamond" w:hAnsi="Garamond"/>
              </w:rPr>
              <w:t>-mm-dd = année-mois-jour)</w:t>
            </w:r>
          </w:p>
        </w:tc>
      </w:tr>
      <w:tr w:rsidR="00CA246B" w:rsidRPr="00C20B08" w14:paraId="18E7C857" w14:textId="77777777" w:rsidTr="007C0354">
        <w:trPr>
          <w:cantSplit/>
        </w:trPr>
        <w:tc>
          <w:tcPr>
            <w:tcW w:w="1335" w:type="pct"/>
          </w:tcPr>
          <w:p w14:paraId="023D9E49" w14:textId="77777777" w:rsidR="00CA246B" w:rsidRPr="00C20B08" w:rsidRDefault="00CA246B" w:rsidP="001A48CE">
            <w:pPr>
              <w:suppressAutoHyphens/>
              <w:snapToGrid w:val="0"/>
              <w:spacing w:after="0"/>
              <w:rPr>
                <w:rFonts w:ascii="Garamond" w:hAnsi="Garamond" w:cs="Times New Roman"/>
                <w:iCs/>
              </w:rPr>
            </w:pPr>
            <w:r w:rsidRPr="00C20B08">
              <w:rPr>
                <w:rFonts w:ascii="Garamond" w:hAnsi="Garamond" w:cs="Times New Roman"/>
                <w:iCs/>
              </w:rPr>
              <w:t>Date de référence</w:t>
            </w:r>
          </w:p>
        </w:tc>
        <w:tc>
          <w:tcPr>
            <w:tcW w:w="489" w:type="pct"/>
          </w:tcPr>
          <w:p w14:paraId="10EE11B7" w14:textId="77777777" w:rsidR="00CA246B" w:rsidRPr="00C20B08" w:rsidRDefault="00857CF4" w:rsidP="00CB5C80">
            <w:pPr>
              <w:snapToGrid w:val="0"/>
              <w:spacing w:after="0"/>
              <w:jc w:val="both"/>
              <w:rPr>
                <w:rFonts w:ascii="Garamond" w:hAnsi="Garamond"/>
              </w:rPr>
            </w:pPr>
            <w:r>
              <w:rPr>
                <w:rFonts w:ascii="Garamond" w:hAnsi="Garamond"/>
              </w:rPr>
              <w:t xml:space="preserve">C0010/ </w:t>
            </w:r>
            <w:r w:rsidR="00CA246B" w:rsidRPr="00C20B08">
              <w:rPr>
                <w:rFonts w:ascii="Garamond" w:hAnsi="Garamond"/>
              </w:rPr>
              <w:t>R0030</w:t>
            </w:r>
          </w:p>
        </w:tc>
        <w:tc>
          <w:tcPr>
            <w:tcW w:w="3176" w:type="pct"/>
          </w:tcPr>
          <w:p w14:paraId="182A5FFE" w14:textId="77777777" w:rsidR="00CA246B" w:rsidRPr="00CA246B" w:rsidRDefault="00CA246B" w:rsidP="00CB5C80">
            <w:pPr>
              <w:snapToGrid w:val="0"/>
              <w:spacing w:after="0"/>
              <w:rPr>
                <w:rFonts w:ascii="Garamond" w:hAnsi="Garamond"/>
                <w:b/>
                <w:u w:val="single"/>
              </w:rPr>
            </w:pPr>
            <w:r w:rsidRPr="00CA246B">
              <w:rPr>
                <w:rFonts w:ascii="Garamond" w:hAnsi="Garamond"/>
                <w:b/>
                <w:u w:val="single"/>
              </w:rPr>
              <w:t>Annuel et Trimestriel</w:t>
            </w:r>
          </w:p>
          <w:p w14:paraId="790D93B0" w14:textId="22DAAA0D" w:rsidR="00CA246B" w:rsidRPr="00C20B08" w:rsidRDefault="00CA246B" w:rsidP="00CB5C80">
            <w:pPr>
              <w:snapToGrid w:val="0"/>
              <w:spacing w:after="0"/>
              <w:rPr>
                <w:rFonts w:ascii="Garamond" w:hAnsi="Garamond"/>
              </w:rPr>
            </w:pPr>
            <w:r w:rsidRPr="00C20B08">
              <w:rPr>
                <w:rFonts w:ascii="Garamond" w:hAnsi="Garamond"/>
              </w:rPr>
              <w:t xml:space="preserve">L’organisme doit remplir la date de </w:t>
            </w:r>
            <w:r w:rsidR="000721D4">
              <w:rPr>
                <w:rFonts w:ascii="Garamond" w:hAnsi="Garamond"/>
              </w:rPr>
              <w:t>fin</w:t>
            </w:r>
            <w:r w:rsidR="000721D4" w:rsidRPr="00C20B08">
              <w:rPr>
                <w:rFonts w:ascii="Garamond" w:hAnsi="Garamond"/>
              </w:rPr>
              <w:t xml:space="preserve"> </w:t>
            </w:r>
            <w:r w:rsidRPr="00C20B08">
              <w:rPr>
                <w:rFonts w:ascii="Garamond" w:hAnsi="Garamond"/>
              </w:rPr>
              <w:t xml:space="preserve">de la période de référence choisie pour le  </w:t>
            </w:r>
            <w:proofErr w:type="spellStart"/>
            <w:r w:rsidRPr="00C20B08">
              <w:rPr>
                <w:rFonts w:ascii="Garamond" w:hAnsi="Garamond"/>
              </w:rPr>
              <w:t>reporting</w:t>
            </w:r>
            <w:proofErr w:type="spellEnd"/>
            <w:r w:rsidRPr="00C20B08">
              <w:rPr>
                <w:rFonts w:ascii="Garamond" w:hAnsi="Garamond"/>
              </w:rPr>
              <w:t>; le format de cette date est défini par la norme ISO 8601 (</w:t>
            </w:r>
            <w:proofErr w:type="spellStart"/>
            <w:r w:rsidRPr="00C20B08">
              <w:rPr>
                <w:rFonts w:ascii="Garamond" w:hAnsi="Garamond"/>
              </w:rPr>
              <w:t>yyyy</w:t>
            </w:r>
            <w:proofErr w:type="spellEnd"/>
            <w:r w:rsidRPr="00C20B08">
              <w:rPr>
                <w:rFonts w:ascii="Garamond" w:hAnsi="Garamond"/>
              </w:rPr>
              <w:t xml:space="preserve">-mm-dd = année-mois-jour) </w:t>
            </w:r>
          </w:p>
        </w:tc>
      </w:tr>
      <w:tr w:rsidR="00CA246B" w:rsidRPr="000721D4" w14:paraId="6D7A0E27" w14:textId="77777777" w:rsidTr="007C0354">
        <w:trPr>
          <w:cantSplit/>
        </w:trPr>
        <w:tc>
          <w:tcPr>
            <w:tcW w:w="1335" w:type="pct"/>
          </w:tcPr>
          <w:p w14:paraId="0EFD7FC2" w14:textId="77777777" w:rsidR="00CA246B" w:rsidRPr="00C20B08" w:rsidRDefault="00CA246B" w:rsidP="00CB5C80">
            <w:pPr>
              <w:snapToGrid w:val="0"/>
              <w:spacing w:after="0"/>
              <w:rPr>
                <w:rFonts w:ascii="Garamond" w:hAnsi="Garamond"/>
              </w:rPr>
            </w:pPr>
            <w:r w:rsidRPr="00C20B08">
              <w:rPr>
                <w:rFonts w:ascii="Garamond" w:hAnsi="Garamond"/>
              </w:rPr>
              <w:lastRenderedPageBreak/>
              <w:t>Date de clôture de l'exercice comptable</w:t>
            </w:r>
          </w:p>
        </w:tc>
        <w:tc>
          <w:tcPr>
            <w:tcW w:w="489" w:type="pct"/>
          </w:tcPr>
          <w:p w14:paraId="2E1AFA43" w14:textId="77777777" w:rsidR="00CA246B" w:rsidRPr="00C20B08" w:rsidRDefault="00815115" w:rsidP="00CB5C80">
            <w:pPr>
              <w:snapToGrid w:val="0"/>
              <w:spacing w:after="0"/>
              <w:jc w:val="both"/>
              <w:rPr>
                <w:rFonts w:ascii="Garamond" w:hAnsi="Garamond"/>
                <w:lang w:val="en-US"/>
              </w:rPr>
            </w:pPr>
            <w:r>
              <w:rPr>
                <w:rFonts w:ascii="Garamond" w:hAnsi="Garamond"/>
              </w:rPr>
              <w:t xml:space="preserve">C0010/ </w:t>
            </w:r>
            <w:r w:rsidR="00CA246B" w:rsidRPr="00C20B08">
              <w:rPr>
                <w:rFonts w:ascii="Garamond" w:hAnsi="Garamond"/>
                <w:lang w:val="en-US"/>
              </w:rPr>
              <w:t>R0040</w:t>
            </w:r>
          </w:p>
        </w:tc>
        <w:tc>
          <w:tcPr>
            <w:tcW w:w="3176" w:type="pct"/>
          </w:tcPr>
          <w:p w14:paraId="5BFFAC70" w14:textId="77777777" w:rsidR="00815115" w:rsidRPr="00815115" w:rsidRDefault="00815115" w:rsidP="00CB5C80">
            <w:pPr>
              <w:snapToGrid w:val="0"/>
              <w:spacing w:after="0"/>
              <w:rPr>
                <w:rFonts w:ascii="Garamond" w:hAnsi="Garamond"/>
                <w:b/>
                <w:u w:val="single"/>
              </w:rPr>
            </w:pPr>
            <w:r w:rsidRPr="00CA246B">
              <w:rPr>
                <w:rFonts w:ascii="Garamond" w:hAnsi="Garamond"/>
                <w:b/>
                <w:u w:val="single"/>
              </w:rPr>
              <w:t>Annuel et Trimestriel</w:t>
            </w:r>
          </w:p>
          <w:p w14:paraId="0BA90038" w14:textId="6ADAAD50" w:rsidR="00CA246B" w:rsidRPr="00C20B08" w:rsidRDefault="00CA246B" w:rsidP="00CB5C80">
            <w:pPr>
              <w:snapToGrid w:val="0"/>
              <w:spacing w:after="0"/>
              <w:rPr>
                <w:rFonts w:ascii="Garamond" w:hAnsi="Garamond"/>
                <w:lang w:val="en-US"/>
              </w:rPr>
            </w:pPr>
            <w:r w:rsidRPr="00C20B08">
              <w:rPr>
                <w:rFonts w:ascii="Garamond" w:hAnsi="Garamond"/>
              </w:rPr>
              <w:t>Date de clôture de l’exercice comptable ; le format de cette date est défini par la norme ISO 8601 (</w:t>
            </w:r>
            <w:proofErr w:type="spellStart"/>
            <w:r w:rsidRPr="00C20B08">
              <w:rPr>
                <w:rFonts w:ascii="Garamond" w:hAnsi="Garamond"/>
              </w:rPr>
              <w:t>yyyy</w:t>
            </w:r>
            <w:proofErr w:type="spellEnd"/>
            <w:r w:rsidRPr="00C20B08">
              <w:rPr>
                <w:rFonts w:ascii="Garamond" w:hAnsi="Garamond"/>
              </w:rPr>
              <w:t>-mm-dd = année-mois-jour). Par exemple « 2017-12-31 »</w:t>
            </w:r>
          </w:p>
        </w:tc>
      </w:tr>
      <w:tr w:rsidR="00CA246B" w:rsidRPr="000721D4" w14:paraId="7E9A26A2" w14:textId="77777777" w:rsidTr="007C0354">
        <w:trPr>
          <w:cantSplit/>
        </w:trPr>
        <w:tc>
          <w:tcPr>
            <w:tcW w:w="1335" w:type="pct"/>
          </w:tcPr>
          <w:p w14:paraId="7E7DD5A4" w14:textId="77777777" w:rsidR="00CA246B" w:rsidRPr="00C20B08" w:rsidRDefault="00CA246B" w:rsidP="00CB5C80">
            <w:pPr>
              <w:snapToGrid w:val="0"/>
              <w:spacing w:after="0"/>
              <w:rPr>
                <w:rFonts w:ascii="Garamond" w:hAnsi="Garamond"/>
              </w:rPr>
            </w:pPr>
            <w:r w:rsidRPr="00C20B08">
              <w:rPr>
                <w:rFonts w:ascii="Garamond" w:hAnsi="Garamond"/>
              </w:rPr>
              <w:t>Monnaie de déclaration</w:t>
            </w:r>
          </w:p>
        </w:tc>
        <w:tc>
          <w:tcPr>
            <w:tcW w:w="489" w:type="pct"/>
          </w:tcPr>
          <w:p w14:paraId="3C79EEF0" w14:textId="77777777" w:rsidR="00815115" w:rsidRDefault="00815115" w:rsidP="00CB5C80">
            <w:pPr>
              <w:snapToGrid w:val="0"/>
              <w:spacing w:after="0"/>
              <w:jc w:val="both"/>
              <w:rPr>
                <w:rFonts w:ascii="Garamond" w:hAnsi="Garamond"/>
              </w:rPr>
            </w:pPr>
            <w:r>
              <w:rPr>
                <w:rFonts w:ascii="Garamond" w:hAnsi="Garamond"/>
              </w:rPr>
              <w:t>C0010/</w:t>
            </w:r>
          </w:p>
          <w:p w14:paraId="2CD0387E" w14:textId="77777777" w:rsidR="00CA246B" w:rsidRPr="00C20B08" w:rsidRDefault="00CA246B" w:rsidP="00CB5C80">
            <w:pPr>
              <w:snapToGrid w:val="0"/>
              <w:spacing w:after="0"/>
              <w:jc w:val="both"/>
              <w:rPr>
                <w:rFonts w:ascii="Garamond" w:hAnsi="Garamond"/>
              </w:rPr>
            </w:pPr>
            <w:r w:rsidRPr="00C20B08">
              <w:rPr>
                <w:rFonts w:ascii="Garamond" w:hAnsi="Garamond"/>
              </w:rPr>
              <w:t>R0050</w:t>
            </w:r>
          </w:p>
        </w:tc>
        <w:tc>
          <w:tcPr>
            <w:tcW w:w="3176" w:type="pct"/>
          </w:tcPr>
          <w:p w14:paraId="4B14024E" w14:textId="77777777" w:rsidR="00815115" w:rsidRPr="00815115" w:rsidRDefault="00815115" w:rsidP="00CB5C80">
            <w:pPr>
              <w:snapToGrid w:val="0"/>
              <w:spacing w:after="0"/>
              <w:rPr>
                <w:rFonts w:ascii="Garamond" w:hAnsi="Garamond"/>
                <w:b/>
                <w:u w:val="single"/>
              </w:rPr>
            </w:pPr>
            <w:r w:rsidRPr="00CA246B">
              <w:rPr>
                <w:rFonts w:ascii="Garamond" w:hAnsi="Garamond"/>
                <w:b/>
                <w:u w:val="single"/>
              </w:rPr>
              <w:t>Annuel et Trimestriel</w:t>
            </w:r>
          </w:p>
          <w:p w14:paraId="096EE6D5" w14:textId="2E1BDF6F" w:rsidR="00CA246B" w:rsidRPr="00CB5C80" w:rsidRDefault="00CA246B" w:rsidP="00CB5C80">
            <w:pPr>
              <w:snapToGrid w:val="0"/>
              <w:spacing w:after="0"/>
              <w:rPr>
                <w:rFonts w:ascii="Garamond" w:hAnsi="Garamond"/>
              </w:rPr>
            </w:pPr>
            <w:r w:rsidRPr="00C20B08">
              <w:rPr>
                <w:rFonts w:ascii="Garamond" w:hAnsi="Garamond"/>
              </w:rPr>
              <w:t xml:space="preserve">Monnaie dans laquelle sont libellés les montants du </w:t>
            </w:r>
            <w:proofErr w:type="spellStart"/>
            <w:r w:rsidRPr="00C20B08">
              <w:rPr>
                <w:rFonts w:ascii="Garamond" w:hAnsi="Garamond"/>
              </w:rPr>
              <w:t>reporting</w:t>
            </w:r>
            <w:proofErr w:type="spellEnd"/>
            <w:r w:rsidRPr="00C20B08">
              <w:rPr>
                <w:rFonts w:ascii="Garamond" w:hAnsi="Garamond"/>
              </w:rPr>
              <w:t xml:space="preserve"> ; le format des initiales ou « code alphabétique » (ex : EUR) est défini par la norme ISO 4217 </w:t>
            </w:r>
          </w:p>
        </w:tc>
      </w:tr>
      <w:tr w:rsidR="00CA246B" w:rsidRPr="000721D4" w14:paraId="11D413F8" w14:textId="77777777" w:rsidTr="007C0354">
        <w:trPr>
          <w:cantSplit/>
        </w:trPr>
        <w:tc>
          <w:tcPr>
            <w:tcW w:w="1335" w:type="pct"/>
          </w:tcPr>
          <w:p w14:paraId="7AC909F6" w14:textId="77777777" w:rsidR="00CA246B" w:rsidRPr="00C20B08" w:rsidRDefault="00CA246B" w:rsidP="00CB5C80">
            <w:pPr>
              <w:snapToGrid w:val="0"/>
              <w:spacing w:after="0"/>
              <w:rPr>
                <w:rFonts w:ascii="Garamond" w:hAnsi="Garamond"/>
              </w:rPr>
            </w:pPr>
            <w:r w:rsidRPr="00C20B08">
              <w:rPr>
                <w:rFonts w:ascii="Garamond" w:hAnsi="Garamond"/>
              </w:rPr>
              <w:t>Première déclaration ou nouvelle déclaration</w:t>
            </w:r>
          </w:p>
        </w:tc>
        <w:tc>
          <w:tcPr>
            <w:tcW w:w="489" w:type="pct"/>
          </w:tcPr>
          <w:p w14:paraId="0D901EFA" w14:textId="77777777" w:rsidR="00CA246B" w:rsidRPr="00C20B08" w:rsidRDefault="00386D20" w:rsidP="00CB5C80">
            <w:pPr>
              <w:snapToGrid w:val="0"/>
              <w:spacing w:after="0"/>
              <w:jc w:val="both"/>
              <w:rPr>
                <w:rFonts w:ascii="Garamond" w:hAnsi="Garamond"/>
              </w:rPr>
            </w:pPr>
            <w:r>
              <w:rPr>
                <w:rFonts w:ascii="Garamond" w:hAnsi="Garamond"/>
              </w:rPr>
              <w:t xml:space="preserve">C0010/ </w:t>
            </w:r>
            <w:r w:rsidR="00CA246B" w:rsidRPr="00C20B08">
              <w:rPr>
                <w:rFonts w:ascii="Garamond" w:hAnsi="Garamond"/>
                <w:lang w:val="en-US"/>
              </w:rPr>
              <w:t>R0060</w:t>
            </w:r>
          </w:p>
        </w:tc>
        <w:tc>
          <w:tcPr>
            <w:tcW w:w="3176" w:type="pct"/>
          </w:tcPr>
          <w:p w14:paraId="6D0112FE" w14:textId="77777777" w:rsidR="00386D20" w:rsidRPr="00386D20" w:rsidRDefault="00386D20" w:rsidP="00CB5C80">
            <w:pPr>
              <w:snapToGrid w:val="0"/>
              <w:spacing w:after="0"/>
              <w:rPr>
                <w:rFonts w:ascii="Garamond" w:hAnsi="Garamond"/>
                <w:b/>
                <w:u w:val="single"/>
              </w:rPr>
            </w:pPr>
            <w:r w:rsidRPr="00CA246B">
              <w:rPr>
                <w:rFonts w:ascii="Garamond" w:hAnsi="Garamond"/>
                <w:b/>
                <w:u w:val="single"/>
              </w:rPr>
              <w:t>Annuel et Trimestriel</w:t>
            </w:r>
          </w:p>
          <w:p w14:paraId="5D4280A0" w14:textId="7A1B8971" w:rsidR="00CA246B" w:rsidRPr="00C20B08" w:rsidRDefault="00EE2CB9" w:rsidP="00CB5C80">
            <w:pPr>
              <w:snapToGrid w:val="0"/>
              <w:spacing w:after="0"/>
              <w:rPr>
                <w:rFonts w:ascii="Garamond" w:hAnsi="Garamond"/>
              </w:rPr>
            </w:pPr>
            <w:r w:rsidRPr="00CB5C80">
              <w:rPr>
                <w:rFonts w:ascii="Garamond" w:hAnsi="Garamond"/>
              </w:rPr>
              <w:t>Indiquer s'il s'agit d'une première déclaration d'informations ou d'une nouvelle déclaration par rapport à une date de référence pour laquelle il y a déjà eu une déclaration. Choisir impérativement l'une des options suivantes:</w:t>
            </w:r>
          </w:p>
          <w:p w14:paraId="5B4D58C2" w14:textId="77777777" w:rsidR="00CA246B" w:rsidRPr="00C20B08" w:rsidRDefault="00CA246B" w:rsidP="00CB5C80">
            <w:pPr>
              <w:snapToGrid w:val="0"/>
              <w:spacing w:after="0"/>
              <w:rPr>
                <w:rFonts w:ascii="Garamond" w:hAnsi="Garamond"/>
              </w:rPr>
            </w:pPr>
            <w:r w:rsidRPr="00C20B08">
              <w:rPr>
                <w:rFonts w:ascii="Garamond" w:hAnsi="Garamond"/>
              </w:rPr>
              <w:t>1 – Première déclaration</w:t>
            </w:r>
          </w:p>
          <w:p w14:paraId="23F1E467" w14:textId="3C688418" w:rsidR="00CA246B" w:rsidRPr="00CB5C80" w:rsidRDefault="00CA246B" w:rsidP="00CB5C80">
            <w:pPr>
              <w:snapToGrid w:val="0"/>
              <w:spacing w:after="0"/>
              <w:rPr>
                <w:rFonts w:ascii="Garamond" w:hAnsi="Garamond"/>
              </w:rPr>
            </w:pPr>
            <w:r w:rsidRPr="00C20B08">
              <w:rPr>
                <w:rFonts w:ascii="Garamond" w:hAnsi="Garamond"/>
              </w:rPr>
              <w:t xml:space="preserve">2 – Nouvelle déclaration </w:t>
            </w:r>
          </w:p>
        </w:tc>
      </w:tr>
      <w:tr w:rsidR="00CA246B" w:rsidRPr="000721D4" w14:paraId="2038A7A8" w14:textId="77777777" w:rsidTr="007C0354">
        <w:trPr>
          <w:cantSplit/>
        </w:trPr>
        <w:tc>
          <w:tcPr>
            <w:tcW w:w="1335" w:type="pct"/>
          </w:tcPr>
          <w:p w14:paraId="100ECEB0" w14:textId="77777777" w:rsidR="00CA246B" w:rsidRPr="00C20B08" w:rsidRDefault="00CA246B" w:rsidP="00CB5C80">
            <w:pPr>
              <w:snapToGrid w:val="0"/>
              <w:spacing w:after="0"/>
              <w:rPr>
                <w:rFonts w:ascii="Garamond" w:hAnsi="Garamond"/>
              </w:rPr>
            </w:pPr>
            <w:r w:rsidRPr="00C20B08">
              <w:rPr>
                <w:rFonts w:ascii="Garamond" w:hAnsi="Garamond"/>
              </w:rPr>
              <w:t>Nom de l’organisme</w:t>
            </w:r>
          </w:p>
        </w:tc>
        <w:tc>
          <w:tcPr>
            <w:tcW w:w="489" w:type="pct"/>
          </w:tcPr>
          <w:p w14:paraId="231BF541" w14:textId="77777777" w:rsidR="00CA246B" w:rsidRPr="00C20B08" w:rsidRDefault="0069391B" w:rsidP="00CB5C80">
            <w:pPr>
              <w:snapToGrid w:val="0"/>
              <w:spacing w:after="0"/>
              <w:jc w:val="both"/>
              <w:rPr>
                <w:rFonts w:ascii="Garamond" w:hAnsi="Garamond"/>
              </w:rPr>
            </w:pPr>
            <w:r>
              <w:rPr>
                <w:rFonts w:ascii="Garamond" w:hAnsi="Garamond"/>
              </w:rPr>
              <w:t xml:space="preserve">C0010/ </w:t>
            </w:r>
            <w:r w:rsidR="00CA246B" w:rsidRPr="00C20B08">
              <w:rPr>
                <w:rFonts w:ascii="Garamond" w:hAnsi="Garamond"/>
              </w:rPr>
              <w:t>R0070</w:t>
            </w:r>
          </w:p>
        </w:tc>
        <w:tc>
          <w:tcPr>
            <w:tcW w:w="3176" w:type="pct"/>
          </w:tcPr>
          <w:p w14:paraId="029C84C0" w14:textId="77777777" w:rsidR="0069391B" w:rsidRPr="0069391B" w:rsidRDefault="0069391B" w:rsidP="00CB5C80">
            <w:pPr>
              <w:snapToGrid w:val="0"/>
              <w:spacing w:after="0"/>
              <w:rPr>
                <w:rFonts w:ascii="Garamond" w:hAnsi="Garamond"/>
                <w:b/>
                <w:u w:val="single"/>
              </w:rPr>
            </w:pPr>
            <w:r w:rsidRPr="00CA246B">
              <w:rPr>
                <w:rFonts w:ascii="Garamond" w:hAnsi="Garamond"/>
                <w:b/>
                <w:u w:val="single"/>
              </w:rPr>
              <w:t>Annuel et Trimestriel</w:t>
            </w:r>
          </w:p>
          <w:p w14:paraId="6E8C878A" w14:textId="3DD7D50E" w:rsidR="00CA246B" w:rsidRPr="00CB5C80" w:rsidRDefault="00CA246B" w:rsidP="004E79CD">
            <w:pPr>
              <w:snapToGrid w:val="0"/>
              <w:spacing w:after="0"/>
              <w:rPr>
                <w:rFonts w:ascii="Garamond" w:hAnsi="Garamond"/>
              </w:rPr>
            </w:pPr>
            <w:r w:rsidRPr="00C20B08">
              <w:rPr>
                <w:rFonts w:ascii="Garamond" w:hAnsi="Garamond"/>
              </w:rPr>
              <w:t xml:space="preserve">Nom </w:t>
            </w:r>
            <w:r w:rsidR="004E79CD">
              <w:rPr>
                <w:rFonts w:ascii="Garamond" w:hAnsi="Garamond"/>
              </w:rPr>
              <w:t>juridique</w:t>
            </w:r>
            <w:r w:rsidR="004E79CD" w:rsidRPr="00C20B08">
              <w:rPr>
                <w:rFonts w:ascii="Garamond" w:hAnsi="Garamond"/>
              </w:rPr>
              <w:t xml:space="preserve"> </w:t>
            </w:r>
            <w:r w:rsidRPr="00C20B08">
              <w:rPr>
                <w:rFonts w:ascii="Garamond" w:hAnsi="Garamond"/>
              </w:rPr>
              <w:t>de l’entité enregistré au code du commerce</w:t>
            </w:r>
          </w:p>
        </w:tc>
      </w:tr>
      <w:tr w:rsidR="00CA246B" w:rsidRPr="00EE2CB9" w14:paraId="12D75457" w14:textId="77777777" w:rsidTr="007C0354">
        <w:trPr>
          <w:cantSplit/>
        </w:trPr>
        <w:tc>
          <w:tcPr>
            <w:tcW w:w="1335" w:type="pct"/>
            <w:tcBorders>
              <w:bottom w:val="single" w:sz="4" w:space="0" w:color="auto"/>
            </w:tcBorders>
          </w:tcPr>
          <w:p w14:paraId="38848883" w14:textId="77777777" w:rsidR="00CA246B" w:rsidRPr="00C20B08" w:rsidRDefault="00CA246B" w:rsidP="00CB5C80">
            <w:pPr>
              <w:snapToGrid w:val="0"/>
              <w:spacing w:after="0"/>
              <w:rPr>
                <w:rFonts w:ascii="Garamond" w:hAnsi="Garamond"/>
              </w:rPr>
            </w:pPr>
            <w:r w:rsidRPr="00C20B08">
              <w:rPr>
                <w:rFonts w:ascii="Garamond" w:hAnsi="Garamond"/>
              </w:rPr>
              <w:t>Code d’identification de l’organisme</w:t>
            </w:r>
          </w:p>
        </w:tc>
        <w:tc>
          <w:tcPr>
            <w:tcW w:w="489" w:type="pct"/>
            <w:tcBorders>
              <w:bottom w:val="single" w:sz="4" w:space="0" w:color="auto"/>
            </w:tcBorders>
          </w:tcPr>
          <w:p w14:paraId="4F75D112" w14:textId="77777777" w:rsidR="00CA246B" w:rsidRPr="00C20B08" w:rsidRDefault="00003396" w:rsidP="00CB5C80">
            <w:pPr>
              <w:snapToGrid w:val="0"/>
              <w:spacing w:after="0"/>
              <w:jc w:val="both"/>
              <w:rPr>
                <w:rFonts w:ascii="Garamond" w:hAnsi="Garamond"/>
              </w:rPr>
            </w:pPr>
            <w:r>
              <w:rPr>
                <w:rFonts w:ascii="Garamond" w:hAnsi="Garamond"/>
              </w:rPr>
              <w:t xml:space="preserve">C0010/ </w:t>
            </w:r>
            <w:r w:rsidR="00CA246B" w:rsidRPr="00C20B08">
              <w:rPr>
                <w:rFonts w:ascii="Garamond" w:hAnsi="Garamond"/>
              </w:rPr>
              <w:t>R0080</w:t>
            </w:r>
          </w:p>
        </w:tc>
        <w:tc>
          <w:tcPr>
            <w:tcW w:w="3176" w:type="pct"/>
            <w:tcBorders>
              <w:bottom w:val="single" w:sz="4" w:space="0" w:color="auto"/>
            </w:tcBorders>
          </w:tcPr>
          <w:p w14:paraId="75E28451" w14:textId="77777777" w:rsidR="00003396" w:rsidRPr="00107C86" w:rsidRDefault="00107C86" w:rsidP="00CB5C80">
            <w:pPr>
              <w:snapToGrid w:val="0"/>
              <w:spacing w:after="0"/>
              <w:rPr>
                <w:rFonts w:ascii="Garamond" w:hAnsi="Garamond"/>
                <w:b/>
                <w:u w:val="single"/>
              </w:rPr>
            </w:pPr>
            <w:r w:rsidRPr="00CA246B">
              <w:rPr>
                <w:rFonts w:ascii="Garamond" w:hAnsi="Garamond"/>
                <w:b/>
                <w:u w:val="single"/>
              </w:rPr>
              <w:t>Annuel et Trimestriel</w:t>
            </w:r>
          </w:p>
          <w:p w14:paraId="0DFAFD08" w14:textId="7DC668BF" w:rsidR="00CA246B" w:rsidRPr="00C20B08" w:rsidRDefault="00CA246B" w:rsidP="00CB5C80">
            <w:pPr>
              <w:snapToGrid w:val="0"/>
              <w:spacing w:after="0"/>
              <w:rPr>
                <w:rFonts w:ascii="Garamond" w:hAnsi="Garamond"/>
              </w:rPr>
            </w:pPr>
            <w:r w:rsidRPr="00C20B08">
              <w:rPr>
                <w:rFonts w:ascii="Garamond" w:hAnsi="Garamond"/>
              </w:rPr>
              <w:t>Code d</w:t>
            </w:r>
            <w:r w:rsidR="0007704C">
              <w:rPr>
                <w:rFonts w:ascii="Garamond" w:hAnsi="Garamond"/>
              </w:rPr>
              <w:t>e</w:t>
            </w:r>
            <w:r w:rsidRPr="00C20B08">
              <w:rPr>
                <w:rFonts w:ascii="Garamond" w:hAnsi="Garamond"/>
              </w:rPr>
              <w:t xml:space="preserve"> </w:t>
            </w:r>
            <w:r w:rsidR="0007704C">
              <w:rPr>
                <w:rFonts w:ascii="Garamond" w:hAnsi="Garamond"/>
              </w:rPr>
              <w:t>l’O</w:t>
            </w:r>
            <w:r w:rsidRPr="00C20B08">
              <w:rPr>
                <w:rFonts w:ascii="Garamond" w:hAnsi="Garamond"/>
              </w:rPr>
              <w:t>RPS:</w:t>
            </w:r>
          </w:p>
          <w:p w14:paraId="70C9DB11" w14:textId="77777777" w:rsidR="00CA246B" w:rsidRPr="00C20B08" w:rsidRDefault="00CA246B" w:rsidP="00CB5C80">
            <w:pPr>
              <w:pStyle w:val="Paragraphedeliste"/>
              <w:numPr>
                <w:ilvl w:val="0"/>
                <w:numId w:val="9"/>
              </w:numPr>
              <w:snapToGrid w:val="0"/>
              <w:spacing w:after="0"/>
              <w:rPr>
                <w:rFonts w:ascii="Garamond" w:hAnsi="Garamond"/>
              </w:rPr>
            </w:pPr>
            <w:r w:rsidRPr="00C20B08">
              <w:rPr>
                <w:rFonts w:ascii="Garamond" w:hAnsi="Garamond"/>
              </w:rPr>
              <w:t xml:space="preserve">Code LEI : </w:t>
            </w:r>
            <w:proofErr w:type="spellStart"/>
            <w:r w:rsidRPr="00C20B08">
              <w:rPr>
                <w:rFonts w:ascii="Garamond" w:hAnsi="Garamond"/>
              </w:rPr>
              <w:t>Legal</w:t>
            </w:r>
            <w:proofErr w:type="spellEnd"/>
            <w:r w:rsidRPr="00C20B08">
              <w:rPr>
                <w:rFonts w:ascii="Garamond" w:hAnsi="Garamond"/>
              </w:rPr>
              <w:t xml:space="preserve"> </w:t>
            </w:r>
            <w:proofErr w:type="spellStart"/>
            <w:r w:rsidRPr="00C20B08">
              <w:rPr>
                <w:rFonts w:ascii="Garamond" w:hAnsi="Garamond"/>
              </w:rPr>
              <w:t>Entity</w:t>
            </w:r>
            <w:proofErr w:type="spellEnd"/>
            <w:r w:rsidRPr="00C20B08">
              <w:rPr>
                <w:rFonts w:ascii="Garamond" w:hAnsi="Garamond"/>
              </w:rPr>
              <w:t xml:space="preserve"> Identifier (“LEI”)</w:t>
            </w:r>
          </w:p>
          <w:p w14:paraId="0AE6201A" w14:textId="02B5F5A8" w:rsidR="00CA246B" w:rsidRDefault="004E79CD" w:rsidP="00CB5C80">
            <w:pPr>
              <w:pStyle w:val="Paragraphedeliste"/>
              <w:numPr>
                <w:ilvl w:val="0"/>
                <w:numId w:val="9"/>
              </w:numPr>
              <w:snapToGrid w:val="0"/>
              <w:spacing w:after="0"/>
              <w:rPr>
                <w:rFonts w:ascii="Garamond" w:hAnsi="Garamond"/>
              </w:rPr>
            </w:pPr>
            <w:r>
              <w:rPr>
                <w:rFonts w:ascii="Garamond" w:hAnsi="Garamond"/>
              </w:rPr>
              <w:t xml:space="preserve">Uniquement en l’absence </w:t>
            </w:r>
            <w:r w:rsidR="00CA246B" w:rsidRPr="00C20B08">
              <w:rPr>
                <w:rFonts w:ascii="Garamond" w:hAnsi="Garamond"/>
              </w:rPr>
              <w:t xml:space="preserve">de LEI, </w:t>
            </w:r>
            <w:r>
              <w:rPr>
                <w:rFonts w:ascii="Garamond" w:hAnsi="Garamond"/>
              </w:rPr>
              <w:t>le c</w:t>
            </w:r>
            <w:r w:rsidR="00CA246B" w:rsidRPr="00C20B08">
              <w:rPr>
                <w:rFonts w:ascii="Garamond" w:hAnsi="Garamond"/>
              </w:rPr>
              <w:t xml:space="preserve">ode SIREN ou autre code attribué par l’ACPR. </w:t>
            </w:r>
            <w:r>
              <w:rPr>
                <w:rFonts w:ascii="Garamond" w:hAnsi="Garamond"/>
              </w:rPr>
              <w:t xml:space="preserve">Il </w:t>
            </w:r>
            <w:r w:rsidR="00005DCA">
              <w:rPr>
                <w:rFonts w:ascii="Garamond" w:hAnsi="Garamond"/>
              </w:rPr>
              <w:t>doit</w:t>
            </w:r>
            <w:r>
              <w:rPr>
                <w:rFonts w:ascii="Garamond" w:hAnsi="Garamond"/>
              </w:rPr>
              <w:t xml:space="preserve"> correspondre au</w:t>
            </w:r>
            <w:r w:rsidR="00CA246B" w:rsidRPr="00C20B08">
              <w:rPr>
                <w:rFonts w:ascii="Garamond" w:hAnsi="Garamond"/>
              </w:rPr>
              <w:t xml:space="preserve"> code attribué par EIOPA dans son </w:t>
            </w:r>
            <w:hyperlink r:id="rId9" w:history="1">
              <w:r w:rsidR="00CA246B" w:rsidRPr="004E79CD">
                <w:rPr>
                  <w:rStyle w:val="Lienhypertexte"/>
                  <w:rFonts w:ascii="Garamond" w:hAnsi="Garamond"/>
                </w:rPr>
                <w:t xml:space="preserve">registre des </w:t>
              </w:r>
              <w:r w:rsidRPr="004E79CD">
                <w:rPr>
                  <w:rStyle w:val="Lienhypertexte"/>
                  <w:rFonts w:ascii="Garamond" w:hAnsi="Garamond"/>
                </w:rPr>
                <w:t>IRP</w:t>
              </w:r>
            </w:hyperlink>
            <w:r>
              <w:rPr>
                <w:rFonts w:ascii="Garamond" w:hAnsi="Garamond"/>
              </w:rPr>
              <w:t>.</w:t>
            </w:r>
          </w:p>
          <w:p w14:paraId="137A5725" w14:textId="77777777" w:rsidR="0007704C" w:rsidRPr="00C20B08" w:rsidRDefault="0007704C" w:rsidP="00CB5C80">
            <w:pPr>
              <w:pStyle w:val="Paragraphedeliste"/>
              <w:snapToGrid w:val="0"/>
              <w:spacing w:after="0"/>
              <w:rPr>
                <w:rFonts w:ascii="Garamond" w:hAnsi="Garamond"/>
              </w:rPr>
            </w:pPr>
          </w:p>
          <w:p w14:paraId="396A41EA" w14:textId="77777777" w:rsidR="00CA246B" w:rsidRPr="00C20B08" w:rsidRDefault="00CA246B" w:rsidP="00CB5C80">
            <w:pPr>
              <w:snapToGrid w:val="0"/>
              <w:spacing w:after="0"/>
              <w:rPr>
                <w:rFonts w:ascii="Garamond" w:hAnsi="Garamond"/>
              </w:rPr>
            </w:pPr>
            <w:r w:rsidRPr="00C20B08">
              <w:rPr>
                <w:rFonts w:ascii="Garamond" w:hAnsi="Garamond"/>
              </w:rPr>
              <w:t>Le type de code est soit :</w:t>
            </w:r>
          </w:p>
          <w:p w14:paraId="3C6F77E3" w14:textId="3FAD651E" w:rsidR="00CA246B" w:rsidRPr="00C20B08" w:rsidRDefault="00CA246B" w:rsidP="00CB5C80">
            <w:pPr>
              <w:snapToGrid w:val="0"/>
              <w:spacing w:after="0"/>
              <w:rPr>
                <w:rFonts w:ascii="Garamond" w:hAnsi="Garamond"/>
              </w:rPr>
            </w:pPr>
            <w:r w:rsidRPr="00C20B08">
              <w:rPr>
                <w:rFonts w:ascii="Garamond" w:hAnsi="Garamond"/>
              </w:rPr>
              <w:t>1 –LEI</w:t>
            </w:r>
          </w:p>
          <w:p w14:paraId="0BD8AFA7" w14:textId="0DD37CE4" w:rsidR="00CA246B" w:rsidRPr="00CB5C80" w:rsidRDefault="00CA246B" w:rsidP="00CB5C80">
            <w:pPr>
              <w:snapToGrid w:val="0"/>
              <w:spacing w:after="0"/>
              <w:rPr>
                <w:rFonts w:ascii="Garamond" w:hAnsi="Garamond"/>
              </w:rPr>
            </w:pPr>
            <w:r w:rsidRPr="00C20B08">
              <w:rPr>
                <w:rFonts w:ascii="Garamond" w:hAnsi="Garamond"/>
              </w:rPr>
              <w:t>2 –</w:t>
            </w:r>
            <w:r w:rsidR="00EE2CB9">
              <w:rPr>
                <w:rFonts w:ascii="Garamond" w:hAnsi="Garamond"/>
              </w:rPr>
              <w:t>C</w:t>
            </w:r>
            <w:r w:rsidRPr="00C20B08">
              <w:rPr>
                <w:rFonts w:ascii="Garamond" w:hAnsi="Garamond"/>
              </w:rPr>
              <w:t>ode spécifique (par exemple SIREN)</w:t>
            </w:r>
          </w:p>
        </w:tc>
      </w:tr>
      <w:tr w:rsidR="00CA246B" w:rsidRPr="00C20B08" w14:paraId="6E65A74F"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69CB49B2" w14:textId="77777777" w:rsidR="00CA246B" w:rsidRPr="00C20B08" w:rsidRDefault="00CA246B" w:rsidP="00CB5C80">
            <w:pPr>
              <w:spacing w:after="0"/>
              <w:rPr>
                <w:rFonts w:ascii="Garamond" w:hAnsi="Garamond"/>
              </w:rPr>
            </w:pPr>
            <w:r w:rsidRPr="00C20B08">
              <w:rPr>
                <w:rFonts w:ascii="Garamond" w:hAnsi="Garamond"/>
              </w:rPr>
              <w:t xml:space="preserve">Nature juridique de l'organisme </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36D7256E" w14:textId="77777777" w:rsidR="00CA246B" w:rsidRPr="00C20B08" w:rsidRDefault="00E4378D" w:rsidP="00CB5C80">
            <w:pPr>
              <w:spacing w:after="0"/>
              <w:jc w:val="center"/>
              <w:rPr>
                <w:rFonts w:ascii="Garamond" w:hAnsi="Garamond"/>
              </w:rPr>
            </w:pPr>
            <w:r>
              <w:rPr>
                <w:rFonts w:ascii="Garamond" w:hAnsi="Garamond"/>
              </w:rPr>
              <w:t xml:space="preserve">C0010/ </w:t>
            </w:r>
            <w:r w:rsidR="00CA246B" w:rsidRPr="00C20B08">
              <w:rPr>
                <w:rFonts w:ascii="Garamond" w:hAnsi="Garamond"/>
              </w:rPr>
              <w:t>R0090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76C3B8C9" w14:textId="5962CC8A" w:rsidR="00E4378D" w:rsidRDefault="00E4378D" w:rsidP="00CB5C80">
            <w:pPr>
              <w:snapToGrid w:val="0"/>
              <w:spacing w:after="0"/>
              <w:rPr>
                <w:rFonts w:ascii="Garamond" w:hAnsi="Garamond"/>
                <w:b/>
                <w:u w:val="single"/>
              </w:rPr>
            </w:pPr>
            <w:r w:rsidRPr="00CA246B">
              <w:rPr>
                <w:rFonts w:ascii="Garamond" w:hAnsi="Garamond"/>
                <w:b/>
                <w:u w:val="single"/>
              </w:rPr>
              <w:t>Annuel et Trimestriel</w:t>
            </w:r>
          </w:p>
          <w:p w14:paraId="3E4D9F67" w14:textId="63524CA2" w:rsidR="00935CE2" w:rsidRPr="00E4378D" w:rsidRDefault="00935CE2" w:rsidP="00CB5C80">
            <w:pPr>
              <w:snapToGrid w:val="0"/>
              <w:spacing w:after="0"/>
              <w:rPr>
                <w:rFonts w:ascii="Garamond" w:hAnsi="Garamond"/>
                <w:b/>
                <w:u w:val="single"/>
              </w:rPr>
            </w:pPr>
            <w:r w:rsidRPr="00E24DAF">
              <w:rPr>
                <w:rFonts w:ascii="Garamond" w:hAnsi="Garamond"/>
              </w:rPr>
              <w:t>Il faut choisir impérativement l’une des options suivantes</w:t>
            </w:r>
            <w:r w:rsidR="00F9733F">
              <w:rPr>
                <w:rFonts w:ascii="Garamond" w:hAnsi="Garamond"/>
              </w:rPr>
              <w:t xml:space="preserve"> (‘directive IRP’ = ‘IORP directive’)</w:t>
            </w:r>
            <w:r>
              <w:rPr>
                <w:rFonts w:ascii="Garamond" w:hAnsi="Garamond"/>
              </w:rPr>
              <w:t> :</w:t>
            </w:r>
          </w:p>
          <w:p w14:paraId="0B894CF5" w14:textId="6626B3AB" w:rsidR="001C0C7A" w:rsidRDefault="001C0C7A" w:rsidP="00CB5C80">
            <w:pPr>
              <w:spacing w:after="0"/>
              <w:rPr>
                <w:rStyle w:val="systrantokenpunctuation"/>
                <w:rFonts w:ascii="Open Sans" w:hAnsi="Open Sans" w:cs="Open Sans"/>
                <w:color w:val="333333"/>
                <w:sz w:val="18"/>
                <w:szCs w:val="18"/>
                <w:shd w:val="clear" w:color="auto" w:fill="FBFBFB"/>
              </w:rPr>
            </w:pPr>
            <w:r>
              <w:rPr>
                <w:rFonts w:ascii="Garamond" w:hAnsi="Garamond"/>
              </w:rPr>
              <w:t xml:space="preserve">1.1 - </w:t>
            </w:r>
            <w:r w:rsidRPr="00C20B08">
              <w:rPr>
                <w:rFonts w:ascii="Garamond" w:hAnsi="Garamond"/>
              </w:rPr>
              <w:t xml:space="preserve"> </w:t>
            </w:r>
            <w:r w:rsidR="00E0266F">
              <w:rPr>
                <w:rFonts w:ascii="Garamond" w:hAnsi="Garamond"/>
              </w:rPr>
              <w:t>I</w:t>
            </w:r>
            <w:r w:rsidRPr="00C20B08">
              <w:rPr>
                <w:rFonts w:ascii="Garamond" w:hAnsi="Garamond"/>
              </w:rPr>
              <w:t xml:space="preserve">RP type </w:t>
            </w:r>
            <w:r w:rsidR="00E0266F">
              <w:rPr>
                <w:rFonts w:ascii="Garamond" w:hAnsi="Garamond"/>
              </w:rPr>
              <w:t xml:space="preserve">“Art. 15(1)” de </w:t>
            </w:r>
            <w:r w:rsidR="00A275FD">
              <w:rPr>
                <w:rFonts w:ascii="Garamond" w:hAnsi="Garamond"/>
              </w:rPr>
              <w:t>la Directive</w:t>
            </w:r>
            <w:r w:rsidR="00E0266F">
              <w:rPr>
                <w:rFonts w:ascii="Garamond" w:hAnsi="Garamond"/>
              </w:rPr>
              <w:t xml:space="preserve"> </w:t>
            </w:r>
            <w:r w:rsidR="00A275FD">
              <w:rPr>
                <w:rFonts w:ascii="Garamond" w:hAnsi="Garamond"/>
              </w:rPr>
              <w:t>I</w:t>
            </w:r>
            <w:r w:rsidR="00A275FD" w:rsidRPr="00C20B08">
              <w:rPr>
                <w:rFonts w:ascii="Garamond" w:hAnsi="Garamond"/>
              </w:rPr>
              <w:t>RP</w:t>
            </w:r>
            <w:r w:rsidR="00A275FD">
              <w:rPr>
                <w:rFonts w:ascii="Garamond" w:hAnsi="Garamond"/>
              </w:rPr>
              <w:t xml:space="preserve"> (</w:t>
            </w:r>
            <w:r w:rsidRPr="00CB5C80">
              <w:rPr>
                <w:rFonts w:ascii="Garamond" w:hAnsi="Garamond"/>
              </w:rPr>
              <w:t>toutes les activités relevant de la directive)</w:t>
            </w:r>
          </w:p>
          <w:p w14:paraId="5EBF9AB1" w14:textId="75C7830E" w:rsidR="001C0C7A" w:rsidRPr="00C20B08" w:rsidRDefault="001C0C7A" w:rsidP="00CB5C80">
            <w:pPr>
              <w:spacing w:after="0"/>
              <w:rPr>
                <w:rFonts w:ascii="Garamond" w:hAnsi="Garamond"/>
              </w:rPr>
            </w:pPr>
            <w:r>
              <w:rPr>
                <w:rFonts w:ascii="Garamond" w:hAnsi="Garamond"/>
              </w:rPr>
              <w:t xml:space="preserve">1.2 - </w:t>
            </w:r>
            <w:r w:rsidRPr="00C20B08">
              <w:rPr>
                <w:rFonts w:ascii="Garamond" w:hAnsi="Garamond"/>
              </w:rPr>
              <w:t xml:space="preserve"> </w:t>
            </w:r>
            <w:r>
              <w:rPr>
                <w:rFonts w:ascii="Garamond" w:hAnsi="Garamond"/>
              </w:rPr>
              <w:t xml:space="preserve">Part </w:t>
            </w:r>
            <w:r w:rsidRPr="00C20B08">
              <w:rPr>
                <w:rFonts w:ascii="Garamond" w:hAnsi="Garamond"/>
              </w:rPr>
              <w:t xml:space="preserve">IRP </w:t>
            </w:r>
            <w:r>
              <w:rPr>
                <w:rFonts w:ascii="Garamond" w:hAnsi="Garamond"/>
              </w:rPr>
              <w:t>d’</w:t>
            </w:r>
            <w:r w:rsidR="00E0266F">
              <w:rPr>
                <w:rFonts w:ascii="Garamond" w:hAnsi="Garamond"/>
              </w:rPr>
              <w:t>un I</w:t>
            </w:r>
            <w:r>
              <w:rPr>
                <w:rFonts w:ascii="Garamond" w:hAnsi="Garamond"/>
              </w:rPr>
              <w:t xml:space="preserve">RP </w:t>
            </w:r>
            <w:r w:rsidRPr="00C20B08">
              <w:rPr>
                <w:rFonts w:ascii="Garamond" w:hAnsi="Garamond"/>
              </w:rPr>
              <w:t xml:space="preserve">type </w:t>
            </w:r>
            <w:r w:rsidR="00A275FD">
              <w:rPr>
                <w:rFonts w:ascii="Garamond" w:hAnsi="Garamond"/>
              </w:rPr>
              <w:t>“Art. 15(1)” de la</w:t>
            </w:r>
            <w:r w:rsidR="00E0266F">
              <w:rPr>
                <w:rFonts w:ascii="Garamond" w:hAnsi="Garamond"/>
              </w:rPr>
              <w:t xml:space="preserve"> Directive I</w:t>
            </w:r>
            <w:r w:rsidRPr="00C20B08">
              <w:rPr>
                <w:rFonts w:ascii="Garamond" w:hAnsi="Garamond"/>
              </w:rPr>
              <w:t>RP</w:t>
            </w:r>
            <w:r>
              <w:rPr>
                <w:rFonts w:ascii="Garamond" w:hAnsi="Garamond"/>
              </w:rPr>
              <w:t xml:space="preserve"> </w:t>
            </w:r>
          </w:p>
          <w:p w14:paraId="6D9A7079" w14:textId="106A7392" w:rsidR="001C0C7A" w:rsidRDefault="001C0C7A" w:rsidP="00CB5C80">
            <w:pPr>
              <w:spacing w:after="0"/>
              <w:rPr>
                <w:rFonts w:ascii="Garamond" w:hAnsi="Garamond"/>
              </w:rPr>
            </w:pPr>
            <w:r>
              <w:rPr>
                <w:rFonts w:ascii="Garamond" w:hAnsi="Garamond"/>
              </w:rPr>
              <w:t xml:space="preserve">1.3 - </w:t>
            </w:r>
            <w:r w:rsidRPr="00C20B08">
              <w:rPr>
                <w:rFonts w:ascii="Garamond" w:hAnsi="Garamond"/>
              </w:rPr>
              <w:t xml:space="preserve"> </w:t>
            </w:r>
            <w:r>
              <w:rPr>
                <w:rFonts w:ascii="Garamond" w:hAnsi="Garamond"/>
              </w:rPr>
              <w:t>Part non-</w:t>
            </w:r>
            <w:r w:rsidR="00E0266F">
              <w:rPr>
                <w:rFonts w:ascii="Garamond" w:hAnsi="Garamond"/>
              </w:rPr>
              <w:t>I</w:t>
            </w:r>
            <w:r w:rsidRPr="00C20B08">
              <w:rPr>
                <w:rFonts w:ascii="Garamond" w:hAnsi="Garamond"/>
              </w:rPr>
              <w:t xml:space="preserve">RP </w:t>
            </w:r>
            <w:r>
              <w:rPr>
                <w:rFonts w:ascii="Garamond" w:hAnsi="Garamond"/>
              </w:rPr>
              <w:t>d’</w:t>
            </w:r>
            <w:r w:rsidR="00E0266F">
              <w:rPr>
                <w:rFonts w:ascii="Garamond" w:hAnsi="Garamond"/>
              </w:rPr>
              <w:t>un I</w:t>
            </w:r>
            <w:r>
              <w:rPr>
                <w:rFonts w:ascii="Garamond" w:hAnsi="Garamond"/>
              </w:rPr>
              <w:t xml:space="preserve">RP </w:t>
            </w:r>
            <w:r w:rsidRPr="00C20B08">
              <w:rPr>
                <w:rFonts w:ascii="Garamond" w:hAnsi="Garamond"/>
              </w:rPr>
              <w:t xml:space="preserve">type </w:t>
            </w:r>
            <w:r w:rsidR="00E0266F">
              <w:rPr>
                <w:rFonts w:ascii="Garamond" w:hAnsi="Garamond"/>
              </w:rPr>
              <w:t xml:space="preserve">“Art. 15(1)” de </w:t>
            </w:r>
            <w:r w:rsidR="00A275FD">
              <w:rPr>
                <w:rFonts w:ascii="Garamond" w:hAnsi="Garamond"/>
              </w:rPr>
              <w:t>la Directive</w:t>
            </w:r>
            <w:r w:rsidR="00E0266F">
              <w:rPr>
                <w:rFonts w:ascii="Garamond" w:hAnsi="Garamond"/>
              </w:rPr>
              <w:t xml:space="preserve"> I</w:t>
            </w:r>
            <w:r w:rsidRPr="00C20B08">
              <w:rPr>
                <w:rFonts w:ascii="Garamond" w:hAnsi="Garamond"/>
              </w:rPr>
              <w:t>RP</w:t>
            </w:r>
            <w:r>
              <w:rPr>
                <w:rFonts w:ascii="Garamond" w:hAnsi="Garamond"/>
              </w:rPr>
              <w:t xml:space="preserve"> </w:t>
            </w:r>
          </w:p>
          <w:p w14:paraId="65D4A35A" w14:textId="199DEDCC" w:rsidR="00CA246B" w:rsidRDefault="00CA246B" w:rsidP="00CB5C80">
            <w:pPr>
              <w:spacing w:after="0"/>
              <w:rPr>
                <w:rFonts w:ascii="Garamond" w:hAnsi="Garamond"/>
              </w:rPr>
            </w:pPr>
            <w:r w:rsidRPr="00C20B08">
              <w:rPr>
                <w:rFonts w:ascii="Garamond" w:hAnsi="Garamond"/>
              </w:rPr>
              <w:t>2</w:t>
            </w:r>
            <w:r w:rsidR="001C0C7A">
              <w:rPr>
                <w:rFonts w:ascii="Garamond" w:hAnsi="Garamond"/>
              </w:rPr>
              <w:t>.1</w:t>
            </w:r>
            <w:r w:rsidRPr="00C20B08">
              <w:rPr>
                <w:rFonts w:ascii="Garamond" w:hAnsi="Garamond"/>
              </w:rPr>
              <w:t xml:space="preserve"> –  IRP autre que type “Art. 15(1)” de la Directive </w:t>
            </w:r>
            <w:r w:rsidR="00E0266F">
              <w:rPr>
                <w:rFonts w:ascii="Garamond" w:hAnsi="Garamond"/>
              </w:rPr>
              <w:t>I</w:t>
            </w:r>
            <w:r w:rsidR="001C0C7A">
              <w:rPr>
                <w:rFonts w:ascii="Garamond" w:hAnsi="Garamond"/>
              </w:rPr>
              <w:t xml:space="preserve">RP </w:t>
            </w:r>
            <w:r w:rsidR="001C0C7A" w:rsidRPr="001307AB">
              <w:rPr>
                <w:rFonts w:ascii="Garamond" w:hAnsi="Garamond"/>
              </w:rPr>
              <w:t>(toutes les activités relevant de la directive)</w:t>
            </w:r>
          </w:p>
          <w:p w14:paraId="35860701" w14:textId="6DE10AE1" w:rsidR="001C0C7A" w:rsidRDefault="001C0C7A" w:rsidP="00CB5C80">
            <w:pPr>
              <w:spacing w:after="0"/>
              <w:rPr>
                <w:rFonts w:ascii="Garamond" w:hAnsi="Garamond"/>
              </w:rPr>
            </w:pPr>
            <w:r w:rsidRPr="00C20B08">
              <w:rPr>
                <w:rFonts w:ascii="Garamond" w:hAnsi="Garamond"/>
              </w:rPr>
              <w:t>2</w:t>
            </w:r>
            <w:r>
              <w:rPr>
                <w:rFonts w:ascii="Garamond" w:hAnsi="Garamond"/>
              </w:rPr>
              <w:t>.2</w:t>
            </w:r>
            <w:r w:rsidRPr="00C20B08">
              <w:rPr>
                <w:rFonts w:ascii="Garamond" w:hAnsi="Garamond"/>
              </w:rPr>
              <w:t xml:space="preserve"> –  </w:t>
            </w:r>
            <w:r>
              <w:rPr>
                <w:rFonts w:ascii="Garamond" w:hAnsi="Garamond"/>
              </w:rPr>
              <w:t xml:space="preserve">Part </w:t>
            </w:r>
            <w:r w:rsidR="00E0266F">
              <w:rPr>
                <w:rFonts w:ascii="Garamond" w:hAnsi="Garamond"/>
              </w:rPr>
              <w:t>I</w:t>
            </w:r>
            <w:r w:rsidRPr="00C20B08">
              <w:rPr>
                <w:rFonts w:ascii="Garamond" w:hAnsi="Garamond"/>
              </w:rPr>
              <w:t xml:space="preserve">RP </w:t>
            </w:r>
            <w:r>
              <w:rPr>
                <w:rFonts w:ascii="Garamond" w:hAnsi="Garamond"/>
              </w:rPr>
              <w:t xml:space="preserve">d’un </w:t>
            </w:r>
            <w:r w:rsidR="00E0266F">
              <w:rPr>
                <w:rFonts w:ascii="Garamond" w:hAnsi="Garamond"/>
              </w:rPr>
              <w:t>I</w:t>
            </w:r>
            <w:r w:rsidRPr="00C20B08">
              <w:rPr>
                <w:rFonts w:ascii="Garamond" w:hAnsi="Garamond"/>
              </w:rPr>
              <w:t xml:space="preserve">RP autre que type “Art. 15(1)” de </w:t>
            </w:r>
            <w:r w:rsidR="00A275FD" w:rsidRPr="00C20B08">
              <w:rPr>
                <w:rFonts w:ascii="Garamond" w:hAnsi="Garamond"/>
              </w:rPr>
              <w:t>la Directive</w:t>
            </w:r>
            <w:r w:rsidRPr="00C20B08">
              <w:rPr>
                <w:rFonts w:ascii="Garamond" w:hAnsi="Garamond"/>
              </w:rPr>
              <w:t xml:space="preserve"> </w:t>
            </w:r>
            <w:r w:rsidR="00E0266F">
              <w:rPr>
                <w:rFonts w:ascii="Garamond" w:hAnsi="Garamond"/>
              </w:rPr>
              <w:t>I</w:t>
            </w:r>
            <w:r>
              <w:rPr>
                <w:rFonts w:ascii="Garamond" w:hAnsi="Garamond"/>
              </w:rPr>
              <w:t xml:space="preserve">RP </w:t>
            </w:r>
            <w:r w:rsidRPr="001307AB">
              <w:rPr>
                <w:rFonts w:ascii="Garamond" w:hAnsi="Garamond"/>
              </w:rPr>
              <w:t>(toutes les activités relevant de la directive)</w:t>
            </w:r>
          </w:p>
          <w:p w14:paraId="0BED05E3" w14:textId="6D6CAC12" w:rsidR="001C0C7A" w:rsidRPr="00C20B08" w:rsidRDefault="001C0C7A" w:rsidP="00CB5C80">
            <w:pPr>
              <w:spacing w:after="0"/>
              <w:rPr>
                <w:rFonts w:ascii="Garamond" w:hAnsi="Garamond"/>
              </w:rPr>
            </w:pPr>
            <w:r w:rsidRPr="00C20B08">
              <w:rPr>
                <w:rFonts w:ascii="Garamond" w:hAnsi="Garamond"/>
              </w:rPr>
              <w:t>2</w:t>
            </w:r>
            <w:r>
              <w:rPr>
                <w:rFonts w:ascii="Garamond" w:hAnsi="Garamond"/>
              </w:rPr>
              <w:t>.3</w:t>
            </w:r>
            <w:r w:rsidRPr="00C20B08">
              <w:rPr>
                <w:rFonts w:ascii="Garamond" w:hAnsi="Garamond"/>
              </w:rPr>
              <w:t xml:space="preserve"> –  </w:t>
            </w:r>
            <w:r>
              <w:rPr>
                <w:rFonts w:ascii="Garamond" w:hAnsi="Garamond"/>
              </w:rPr>
              <w:t>Part non-</w:t>
            </w:r>
            <w:r w:rsidR="00E0266F">
              <w:rPr>
                <w:rFonts w:ascii="Garamond" w:hAnsi="Garamond"/>
              </w:rPr>
              <w:t>I</w:t>
            </w:r>
            <w:r w:rsidRPr="00C20B08">
              <w:rPr>
                <w:rFonts w:ascii="Garamond" w:hAnsi="Garamond"/>
              </w:rPr>
              <w:t xml:space="preserve">RP </w:t>
            </w:r>
            <w:r>
              <w:rPr>
                <w:rFonts w:ascii="Garamond" w:hAnsi="Garamond"/>
              </w:rPr>
              <w:t xml:space="preserve">d’un </w:t>
            </w:r>
            <w:r w:rsidR="00E0266F">
              <w:rPr>
                <w:rFonts w:ascii="Garamond" w:hAnsi="Garamond"/>
              </w:rPr>
              <w:t>I</w:t>
            </w:r>
            <w:r w:rsidRPr="00C20B08">
              <w:rPr>
                <w:rFonts w:ascii="Garamond" w:hAnsi="Garamond"/>
              </w:rPr>
              <w:t xml:space="preserve">RP autre que type “Art. 15(1)” de </w:t>
            </w:r>
            <w:r w:rsidR="00A275FD" w:rsidRPr="00C20B08">
              <w:rPr>
                <w:rFonts w:ascii="Garamond" w:hAnsi="Garamond"/>
              </w:rPr>
              <w:t>la Directive</w:t>
            </w:r>
            <w:r w:rsidRPr="00C20B08">
              <w:rPr>
                <w:rFonts w:ascii="Garamond" w:hAnsi="Garamond"/>
              </w:rPr>
              <w:t xml:space="preserve"> </w:t>
            </w:r>
            <w:r w:rsidR="00E0266F">
              <w:rPr>
                <w:rFonts w:ascii="Garamond" w:hAnsi="Garamond"/>
              </w:rPr>
              <w:t>I</w:t>
            </w:r>
            <w:r>
              <w:rPr>
                <w:rFonts w:ascii="Garamond" w:hAnsi="Garamond"/>
              </w:rPr>
              <w:t xml:space="preserve">RP </w:t>
            </w:r>
            <w:r w:rsidRPr="001307AB">
              <w:rPr>
                <w:rFonts w:ascii="Garamond" w:hAnsi="Garamond"/>
              </w:rPr>
              <w:t>(toutes les activités relevant de la directive</w:t>
            </w:r>
          </w:p>
          <w:p w14:paraId="298B8F8F" w14:textId="77777777" w:rsidR="00CA246B" w:rsidRPr="00C20B08" w:rsidRDefault="00CA246B" w:rsidP="00CB5C80">
            <w:pPr>
              <w:spacing w:after="0"/>
              <w:rPr>
                <w:rFonts w:ascii="Garamond" w:hAnsi="Garamond"/>
              </w:rPr>
            </w:pPr>
            <w:r w:rsidRPr="00C20B08">
              <w:rPr>
                <w:rFonts w:ascii="Garamond" w:hAnsi="Garamond"/>
              </w:rPr>
              <w:t>3 – Canton Article 4</w:t>
            </w:r>
          </w:p>
          <w:p w14:paraId="31CBB182" w14:textId="4FFB6060" w:rsidR="00CA246B" w:rsidRPr="00C20B08" w:rsidRDefault="00CA246B" w:rsidP="00CB5C80">
            <w:pPr>
              <w:spacing w:after="0"/>
              <w:rPr>
                <w:rFonts w:ascii="Garamond" w:hAnsi="Garamond"/>
                <w:b/>
              </w:rPr>
            </w:pPr>
            <w:r w:rsidRPr="00C20B08">
              <w:rPr>
                <w:rFonts w:ascii="Garamond" w:hAnsi="Garamond"/>
              </w:rPr>
              <w:t xml:space="preserve">4 – Autre type de fond de pension non soumis à </w:t>
            </w:r>
            <w:r w:rsidR="000C3A2D">
              <w:rPr>
                <w:rFonts w:ascii="Garamond" w:hAnsi="Garamond"/>
              </w:rPr>
              <w:t xml:space="preserve">la directive </w:t>
            </w:r>
            <w:r w:rsidRPr="00C20B08">
              <w:rPr>
                <w:rFonts w:ascii="Garamond" w:hAnsi="Garamond"/>
              </w:rPr>
              <w:t xml:space="preserve">IRP </w:t>
            </w:r>
          </w:p>
        </w:tc>
      </w:tr>
      <w:tr w:rsidR="00CA246B" w:rsidRPr="000721D4" w14:paraId="2FC10DC1"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nil"/>
              <w:left w:val="single" w:sz="4" w:space="0" w:color="auto"/>
              <w:bottom w:val="single" w:sz="4" w:space="0" w:color="auto"/>
              <w:right w:val="single" w:sz="4" w:space="0" w:color="auto"/>
            </w:tcBorders>
            <w:shd w:val="clear" w:color="auto" w:fill="auto"/>
            <w:hideMark/>
          </w:tcPr>
          <w:p w14:paraId="4CD06ECB" w14:textId="77777777" w:rsidR="00CA246B" w:rsidRPr="00C20B08" w:rsidRDefault="00CA246B" w:rsidP="00CB5C80">
            <w:pPr>
              <w:spacing w:after="0"/>
              <w:rPr>
                <w:rFonts w:ascii="Garamond" w:hAnsi="Garamond"/>
              </w:rPr>
            </w:pPr>
            <w:r w:rsidRPr="00C20B08">
              <w:rPr>
                <w:rFonts w:ascii="Garamond" w:hAnsi="Garamond"/>
              </w:rPr>
              <w:t>Majorité Cotisations définies / Prestations définies / Mixte</w:t>
            </w:r>
          </w:p>
        </w:tc>
        <w:tc>
          <w:tcPr>
            <w:tcW w:w="489" w:type="pct"/>
            <w:tcBorders>
              <w:top w:val="nil"/>
              <w:left w:val="single" w:sz="4" w:space="0" w:color="auto"/>
              <w:bottom w:val="single" w:sz="4" w:space="0" w:color="auto"/>
              <w:right w:val="single" w:sz="4" w:space="0" w:color="auto"/>
            </w:tcBorders>
            <w:shd w:val="clear" w:color="auto" w:fill="auto"/>
            <w:hideMark/>
          </w:tcPr>
          <w:p w14:paraId="73374D91" w14:textId="77777777" w:rsidR="00CA246B" w:rsidRPr="00C20B08" w:rsidRDefault="00FA2E46" w:rsidP="00CB5C80">
            <w:pPr>
              <w:spacing w:after="0"/>
              <w:jc w:val="center"/>
              <w:rPr>
                <w:rFonts w:ascii="Garamond" w:hAnsi="Garamond"/>
              </w:rPr>
            </w:pPr>
            <w:r>
              <w:rPr>
                <w:rFonts w:ascii="Garamond" w:hAnsi="Garamond"/>
              </w:rPr>
              <w:t xml:space="preserve">C0010/ </w:t>
            </w:r>
            <w:r w:rsidR="00CA246B" w:rsidRPr="00C20B08">
              <w:rPr>
                <w:rFonts w:ascii="Garamond" w:hAnsi="Garamond"/>
              </w:rPr>
              <w:t>R0100</w:t>
            </w:r>
          </w:p>
        </w:tc>
        <w:tc>
          <w:tcPr>
            <w:tcW w:w="3176" w:type="pct"/>
            <w:tcBorders>
              <w:top w:val="nil"/>
              <w:left w:val="single" w:sz="4" w:space="0" w:color="auto"/>
              <w:bottom w:val="single" w:sz="4" w:space="0" w:color="auto"/>
              <w:right w:val="single" w:sz="4" w:space="0" w:color="auto"/>
            </w:tcBorders>
          </w:tcPr>
          <w:p w14:paraId="2BA79C21" w14:textId="77777777" w:rsidR="00FA2E46" w:rsidRPr="00FA2E46" w:rsidRDefault="00FA2E46" w:rsidP="00CB5C80">
            <w:pPr>
              <w:snapToGrid w:val="0"/>
              <w:spacing w:after="0"/>
              <w:rPr>
                <w:rFonts w:ascii="Garamond" w:hAnsi="Garamond"/>
                <w:b/>
                <w:u w:val="single"/>
              </w:rPr>
            </w:pPr>
            <w:r w:rsidRPr="00CA246B">
              <w:rPr>
                <w:rFonts w:ascii="Garamond" w:hAnsi="Garamond"/>
                <w:b/>
                <w:u w:val="single"/>
              </w:rPr>
              <w:t>Annuel et Trimestriel</w:t>
            </w:r>
          </w:p>
          <w:p w14:paraId="581D598E" w14:textId="045B25D1" w:rsidR="00CA246B" w:rsidRPr="00C20B08" w:rsidRDefault="00CA246B" w:rsidP="00CB5C80">
            <w:pPr>
              <w:spacing w:after="0"/>
              <w:jc w:val="both"/>
              <w:rPr>
                <w:rFonts w:ascii="Garamond" w:hAnsi="Garamond"/>
              </w:rPr>
            </w:pPr>
            <w:r w:rsidRPr="00C20B08">
              <w:rPr>
                <w:rFonts w:ascii="Garamond" w:hAnsi="Garamond"/>
              </w:rPr>
              <w:t>Les contrats gérés par l</w:t>
            </w:r>
            <w:r w:rsidR="00F9733F">
              <w:rPr>
                <w:rFonts w:ascii="Garamond" w:hAnsi="Garamond"/>
              </w:rPr>
              <w:t>’O</w:t>
            </w:r>
            <w:r w:rsidRPr="00C20B08">
              <w:rPr>
                <w:rFonts w:ascii="Garamond" w:hAnsi="Garamond"/>
              </w:rPr>
              <w:t xml:space="preserve">RPS sont </w:t>
            </w:r>
            <w:r w:rsidR="00935CE2">
              <w:rPr>
                <w:rFonts w:ascii="Garamond" w:hAnsi="Garamond"/>
              </w:rPr>
              <w:t>(</w:t>
            </w:r>
            <w:r w:rsidR="00935CE2" w:rsidRPr="00CB5C80">
              <w:rPr>
                <w:rFonts w:ascii="Garamond" w:hAnsi="Garamond"/>
              </w:rPr>
              <w:t>Choisir</w:t>
            </w:r>
            <w:r w:rsidR="00E0266F" w:rsidRPr="00CB5C80">
              <w:rPr>
                <w:rFonts w:ascii="Garamond" w:hAnsi="Garamond"/>
              </w:rPr>
              <w:t xml:space="preserve"> impérativement l'une des options suivantes) </w:t>
            </w:r>
            <w:r w:rsidRPr="00C20B08">
              <w:rPr>
                <w:rFonts w:ascii="Garamond" w:hAnsi="Garamond"/>
              </w:rPr>
              <w:t>:</w:t>
            </w:r>
          </w:p>
          <w:p w14:paraId="2311AA02" w14:textId="77777777" w:rsidR="0098295B" w:rsidRPr="00C20B08" w:rsidRDefault="0098295B" w:rsidP="0098295B">
            <w:pPr>
              <w:spacing w:after="0"/>
              <w:jc w:val="both"/>
              <w:rPr>
                <w:rFonts w:ascii="Garamond" w:hAnsi="Garamond"/>
              </w:rPr>
            </w:pPr>
            <w:r w:rsidRPr="00C20B08">
              <w:rPr>
                <w:rFonts w:ascii="Garamond" w:hAnsi="Garamond"/>
              </w:rPr>
              <w:t>1 – À prestations définies (</w:t>
            </w:r>
            <w:r w:rsidRPr="009008B2">
              <w:rPr>
                <w:rFonts w:ascii="Garamond" w:hAnsi="Garamond"/>
              </w:rPr>
              <w:t>les indemnités de fin de carrière et les anciens contrats article 39</w:t>
            </w:r>
            <w:r w:rsidRPr="00C20B08">
              <w:rPr>
                <w:rFonts w:ascii="Garamond" w:hAnsi="Garamond"/>
              </w:rPr>
              <w:t>)</w:t>
            </w:r>
          </w:p>
          <w:p w14:paraId="77B3DD19" w14:textId="4F9EB4DC" w:rsidR="0098295B" w:rsidRPr="00C20B08" w:rsidRDefault="0098295B" w:rsidP="0098295B">
            <w:pPr>
              <w:spacing w:after="0"/>
              <w:jc w:val="both"/>
              <w:rPr>
                <w:rFonts w:ascii="Garamond" w:hAnsi="Garamond"/>
              </w:rPr>
            </w:pPr>
            <w:r w:rsidRPr="00C20B08">
              <w:rPr>
                <w:rFonts w:ascii="Garamond" w:hAnsi="Garamond"/>
              </w:rPr>
              <w:lastRenderedPageBreak/>
              <w:t xml:space="preserve">2 – </w:t>
            </w:r>
            <w:r w:rsidR="00005DCA" w:rsidRPr="00C20B08">
              <w:rPr>
                <w:rFonts w:ascii="Garamond" w:hAnsi="Garamond"/>
              </w:rPr>
              <w:t>À</w:t>
            </w:r>
            <w:r w:rsidRPr="00C20B08">
              <w:rPr>
                <w:rFonts w:ascii="Garamond" w:hAnsi="Garamond"/>
              </w:rPr>
              <w:t xml:space="preserve"> cotisations définies (</w:t>
            </w:r>
            <w:r w:rsidRPr="009008B2">
              <w:rPr>
                <w:rFonts w:ascii="Garamond" w:hAnsi="Garamond"/>
              </w:rPr>
              <w:t>hors indemnités de fin de carrière, hors anciens contrats article 39</w:t>
            </w:r>
            <w:r w:rsidRPr="00C20B08">
              <w:rPr>
                <w:rFonts w:ascii="Garamond" w:hAnsi="Garamond"/>
              </w:rPr>
              <w:t>)</w:t>
            </w:r>
          </w:p>
          <w:p w14:paraId="07A067F6" w14:textId="77982CB2" w:rsidR="00CA246B" w:rsidRPr="00CB5C80" w:rsidRDefault="0098295B" w:rsidP="00CB5C80">
            <w:pPr>
              <w:spacing w:after="0"/>
              <w:jc w:val="both"/>
              <w:rPr>
                <w:rFonts w:ascii="Garamond" w:hAnsi="Garamond"/>
              </w:rPr>
            </w:pPr>
            <w:r w:rsidRPr="00C20B08">
              <w:rPr>
                <w:rFonts w:ascii="Garamond" w:hAnsi="Garamond"/>
              </w:rPr>
              <w:t>3 – Mixtes (</w:t>
            </w:r>
            <w:r>
              <w:rPr>
                <w:rFonts w:ascii="Garamond" w:hAnsi="Garamond"/>
              </w:rPr>
              <w:t xml:space="preserve">indemnités de fin de carrière, </w:t>
            </w:r>
            <w:r w:rsidRPr="009008B2">
              <w:rPr>
                <w:rFonts w:ascii="Garamond" w:hAnsi="Garamond"/>
              </w:rPr>
              <w:t>anciens contrats article 39</w:t>
            </w:r>
            <w:r>
              <w:rPr>
                <w:rFonts w:ascii="Garamond" w:hAnsi="Garamond"/>
              </w:rPr>
              <w:t xml:space="preserve"> </w:t>
            </w:r>
            <w:r w:rsidRPr="00C20B08">
              <w:rPr>
                <w:rFonts w:ascii="Garamond" w:hAnsi="Garamond"/>
              </w:rPr>
              <w:t>et d’autres types de contrats)</w:t>
            </w:r>
          </w:p>
        </w:tc>
      </w:tr>
      <w:tr w:rsidR="00CA246B" w:rsidRPr="000721D4" w14:paraId="5B5D89C5"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1C39603C" w14:textId="77777777" w:rsidR="00CA246B" w:rsidRPr="00C20B08" w:rsidRDefault="00CA246B" w:rsidP="00CB5C80">
            <w:pPr>
              <w:spacing w:after="0"/>
              <w:rPr>
                <w:rFonts w:ascii="Garamond" w:hAnsi="Garamond"/>
              </w:rPr>
            </w:pPr>
            <w:r w:rsidRPr="00C20B08">
              <w:rPr>
                <w:rFonts w:ascii="Garamond" w:hAnsi="Garamond"/>
              </w:rPr>
              <w:lastRenderedPageBreak/>
              <w:t>Type de mécanisme lié à l'entreprise "sponsor"</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602D9D56" w14:textId="77777777" w:rsidR="00CA246B" w:rsidRPr="00C20B08" w:rsidRDefault="00040696" w:rsidP="00CB5C80">
            <w:pPr>
              <w:spacing w:after="0"/>
              <w:jc w:val="center"/>
              <w:rPr>
                <w:rFonts w:ascii="Garamond" w:hAnsi="Garamond"/>
              </w:rPr>
            </w:pPr>
            <w:r w:rsidRPr="00040696">
              <w:rPr>
                <w:rFonts w:ascii="Garamond" w:hAnsi="Garamond"/>
              </w:rPr>
              <w:t xml:space="preserve">C0010/ </w:t>
            </w:r>
            <w:r w:rsidR="00CA246B" w:rsidRPr="00C20B08">
              <w:rPr>
                <w:rFonts w:ascii="Garamond" w:hAnsi="Garamond"/>
              </w:rPr>
              <w:t>R0110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50F9C748" w14:textId="77777777" w:rsidR="00925CF0" w:rsidRPr="00925CF0" w:rsidRDefault="00925CF0" w:rsidP="00CB5C80">
            <w:pPr>
              <w:snapToGrid w:val="0"/>
              <w:spacing w:after="0"/>
              <w:rPr>
                <w:rFonts w:ascii="Garamond" w:hAnsi="Garamond"/>
                <w:b/>
                <w:u w:val="single"/>
              </w:rPr>
            </w:pPr>
            <w:r w:rsidRPr="00CA246B">
              <w:rPr>
                <w:rFonts w:ascii="Garamond" w:hAnsi="Garamond"/>
                <w:b/>
                <w:u w:val="single"/>
              </w:rPr>
              <w:t>Annuel et Trimestriel</w:t>
            </w:r>
          </w:p>
          <w:p w14:paraId="195EE33C" w14:textId="61D038DB" w:rsidR="00CA246B" w:rsidRPr="00C20B08" w:rsidRDefault="00CA246B" w:rsidP="00CB5C80">
            <w:pPr>
              <w:spacing w:after="0"/>
              <w:rPr>
                <w:rFonts w:ascii="Garamond" w:hAnsi="Garamond"/>
              </w:rPr>
            </w:pPr>
            <w:r w:rsidRPr="00C20B08">
              <w:rPr>
                <w:rFonts w:ascii="Garamond" w:hAnsi="Garamond"/>
              </w:rPr>
              <w:t>Il s’agit de savoir si les plans professionnels de retraite supplémentaire gérés par l</w:t>
            </w:r>
            <w:r w:rsidR="00F9733F">
              <w:rPr>
                <w:rFonts w:ascii="Garamond" w:hAnsi="Garamond"/>
              </w:rPr>
              <w:t>’O</w:t>
            </w:r>
            <w:r w:rsidRPr="00C20B08">
              <w:rPr>
                <w:rFonts w:ascii="Garamond" w:hAnsi="Garamond"/>
              </w:rPr>
              <w:t>RPS concernent </w:t>
            </w:r>
            <w:r w:rsidR="00935CE2">
              <w:rPr>
                <w:rFonts w:ascii="Garamond" w:hAnsi="Garamond"/>
              </w:rPr>
              <w:t>(</w:t>
            </w:r>
            <w:r w:rsidR="00935CE2" w:rsidRPr="00CB5C80">
              <w:rPr>
                <w:rFonts w:ascii="Garamond" w:hAnsi="Garamond"/>
              </w:rPr>
              <w:t>Choisir</w:t>
            </w:r>
            <w:r w:rsidR="00E0266F" w:rsidRPr="00CB5C80">
              <w:rPr>
                <w:rFonts w:ascii="Garamond" w:hAnsi="Garamond"/>
              </w:rPr>
              <w:t xml:space="preserve"> impérativement l'une des options suivantes)</w:t>
            </w:r>
            <w:r w:rsidRPr="00C20B08">
              <w:rPr>
                <w:rFonts w:ascii="Garamond" w:hAnsi="Garamond"/>
              </w:rPr>
              <w:t>:</w:t>
            </w:r>
          </w:p>
          <w:p w14:paraId="6840329C" w14:textId="77777777" w:rsidR="00CA246B" w:rsidRPr="00C20B08" w:rsidRDefault="00CA246B" w:rsidP="00CB5C80">
            <w:pPr>
              <w:spacing w:after="0"/>
              <w:rPr>
                <w:rFonts w:ascii="Garamond" w:hAnsi="Garamond"/>
              </w:rPr>
            </w:pPr>
            <w:r w:rsidRPr="00C20B08">
              <w:rPr>
                <w:rFonts w:ascii="Garamond" w:hAnsi="Garamond"/>
              </w:rPr>
              <w:t>1 – Une seule entreprise</w:t>
            </w:r>
          </w:p>
          <w:p w14:paraId="3FB9F0F4" w14:textId="3D86DB78" w:rsidR="00CA246B" w:rsidRPr="00CB5C80" w:rsidRDefault="00CA246B" w:rsidP="00CB5C80">
            <w:pPr>
              <w:spacing w:after="0"/>
              <w:rPr>
                <w:rFonts w:ascii="Garamond" w:hAnsi="Garamond"/>
              </w:rPr>
            </w:pPr>
            <w:r w:rsidRPr="00C20B08">
              <w:rPr>
                <w:rFonts w:ascii="Garamond" w:hAnsi="Garamond"/>
              </w:rPr>
              <w:t>2 – Plusieurs entreprises</w:t>
            </w:r>
            <w:r w:rsidRPr="00CB5C80">
              <w:rPr>
                <w:rFonts w:ascii="Garamond" w:hAnsi="Garamond"/>
              </w:rPr>
              <w:t>.</w:t>
            </w:r>
          </w:p>
        </w:tc>
      </w:tr>
      <w:tr w:rsidR="00CA246B" w:rsidRPr="000721D4" w14:paraId="56354065"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nil"/>
              <w:left w:val="single" w:sz="4" w:space="0" w:color="auto"/>
              <w:bottom w:val="single" w:sz="4" w:space="0" w:color="auto"/>
              <w:right w:val="single" w:sz="4" w:space="0" w:color="auto"/>
            </w:tcBorders>
            <w:shd w:val="clear" w:color="auto" w:fill="auto"/>
            <w:hideMark/>
          </w:tcPr>
          <w:p w14:paraId="2E7B2F32" w14:textId="77777777" w:rsidR="00CA246B" w:rsidRPr="00C20B08" w:rsidRDefault="00CA246B" w:rsidP="00CB5C80">
            <w:pPr>
              <w:spacing w:after="0"/>
              <w:rPr>
                <w:rFonts w:ascii="Garamond" w:hAnsi="Garamond"/>
              </w:rPr>
            </w:pPr>
            <w:r w:rsidRPr="00C20B08">
              <w:rPr>
                <w:rFonts w:ascii="Garamond" w:hAnsi="Garamond"/>
              </w:rPr>
              <w:t>Nombre de plans de retraite</w:t>
            </w:r>
          </w:p>
        </w:tc>
        <w:tc>
          <w:tcPr>
            <w:tcW w:w="489" w:type="pct"/>
            <w:tcBorders>
              <w:top w:val="nil"/>
              <w:left w:val="single" w:sz="4" w:space="0" w:color="auto"/>
              <w:bottom w:val="single" w:sz="4" w:space="0" w:color="auto"/>
              <w:right w:val="single" w:sz="4" w:space="0" w:color="auto"/>
            </w:tcBorders>
            <w:shd w:val="clear" w:color="auto" w:fill="auto"/>
            <w:hideMark/>
          </w:tcPr>
          <w:p w14:paraId="46CE68D4" w14:textId="77777777" w:rsidR="00CA246B" w:rsidRPr="00C20B08" w:rsidRDefault="00040696" w:rsidP="00CB5C80">
            <w:pPr>
              <w:spacing w:after="0"/>
              <w:jc w:val="center"/>
              <w:rPr>
                <w:rFonts w:ascii="Garamond" w:hAnsi="Garamond"/>
              </w:rPr>
            </w:pPr>
            <w:r>
              <w:rPr>
                <w:rFonts w:ascii="Garamond" w:hAnsi="Garamond"/>
              </w:rPr>
              <w:t xml:space="preserve">C0010/ </w:t>
            </w:r>
            <w:r w:rsidR="00CA246B" w:rsidRPr="00C20B08">
              <w:rPr>
                <w:rFonts w:ascii="Garamond" w:hAnsi="Garamond"/>
              </w:rPr>
              <w:t>R0120</w:t>
            </w:r>
          </w:p>
        </w:tc>
        <w:tc>
          <w:tcPr>
            <w:tcW w:w="3176" w:type="pct"/>
            <w:tcBorders>
              <w:top w:val="nil"/>
              <w:left w:val="single" w:sz="4" w:space="0" w:color="auto"/>
              <w:bottom w:val="single" w:sz="4" w:space="0" w:color="auto"/>
              <w:right w:val="single" w:sz="4" w:space="0" w:color="auto"/>
            </w:tcBorders>
          </w:tcPr>
          <w:p w14:paraId="77987AC8" w14:textId="77777777" w:rsidR="00925CF0" w:rsidRPr="00925CF0" w:rsidRDefault="00925CF0" w:rsidP="00CB5C80">
            <w:pPr>
              <w:snapToGrid w:val="0"/>
              <w:spacing w:after="0"/>
              <w:rPr>
                <w:rFonts w:ascii="Garamond" w:hAnsi="Garamond"/>
                <w:b/>
                <w:u w:val="single"/>
              </w:rPr>
            </w:pPr>
            <w:r w:rsidRPr="00CA246B">
              <w:rPr>
                <w:rFonts w:ascii="Garamond" w:hAnsi="Garamond"/>
                <w:b/>
                <w:u w:val="single"/>
              </w:rPr>
              <w:t>Annuel et Trimestriel</w:t>
            </w:r>
          </w:p>
          <w:p w14:paraId="2FAB4ED5" w14:textId="4C0FAD0A" w:rsidR="00CA246B" w:rsidRDefault="00CA246B" w:rsidP="00CB5C80">
            <w:pPr>
              <w:spacing w:after="0"/>
              <w:rPr>
                <w:rFonts w:ascii="Garamond" w:hAnsi="Garamond"/>
              </w:rPr>
            </w:pPr>
            <w:r w:rsidRPr="00C20B08">
              <w:rPr>
                <w:rFonts w:ascii="Garamond" w:hAnsi="Garamond"/>
              </w:rPr>
              <w:t xml:space="preserve">Nombre de </w:t>
            </w:r>
            <w:r w:rsidR="00E0266F">
              <w:rPr>
                <w:rFonts w:ascii="Garamond" w:hAnsi="Garamond"/>
              </w:rPr>
              <w:t>plans</w:t>
            </w:r>
            <w:r w:rsidR="00E0266F" w:rsidRPr="00C20B08">
              <w:rPr>
                <w:rFonts w:ascii="Garamond" w:hAnsi="Garamond"/>
              </w:rPr>
              <w:t xml:space="preserve"> </w:t>
            </w:r>
            <w:r w:rsidRPr="00C20B08">
              <w:rPr>
                <w:rFonts w:ascii="Garamond" w:hAnsi="Garamond"/>
              </w:rPr>
              <w:t xml:space="preserve">de </w:t>
            </w:r>
            <w:r w:rsidR="00925CF0">
              <w:rPr>
                <w:rFonts w:ascii="Garamond" w:hAnsi="Garamond"/>
              </w:rPr>
              <w:t>retraite</w:t>
            </w:r>
            <w:r w:rsidRPr="00C20B08">
              <w:rPr>
                <w:rFonts w:ascii="Garamond" w:hAnsi="Garamond"/>
              </w:rPr>
              <w:t xml:space="preserve"> gérés par l</w:t>
            </w:r>
            <w:r w:rsidR="00F9733F">
              <w:rPr>
                <w:rFonts w:ascii="Garamond" w:hAnsi="Garamond"/>
              </w:rPr>
              <w:t>’</w:t>
            </w:r>
            <w:r w:rsidRPr="00C20B08">
              <w:rPr>
                <w:rFonts w:ascii="Garamond" w:hAnsi="Garamond"/>
              </w:rPr>
              <w:t>ORP</w:t>
            </w:r>
            <w:r w:rsidR="00F9733F">
              <w:rPr>
                <w:rFonts w:ascii="Garamond" w:hAnsi="Garamond"/>
              </w:rPr>
              <w:t>S</w:t>
            </w:r>
            <w:r w:rsidR="00925CF0">
              <w:rPr>
                <w:rFonts w:ascii="Garamond" w:hAnsi="Garamond"/>
              </w:rPr>
              <w:t xml:space="preserve"> (code 11 61 0, </w:t>
            </w:r>
            <w:r w:rsidRPr="00C20B08">
              <w:rPr>
                <w:rFonts w:ascii="Garamond" w:hAnsi="Garamond"/>
              </w:rPr>
              <w:t>Annex</w:t>
            </w:r>
            <w:r w:rsidR="00925CF0">
              <w:rPr>
                <w:rFonts w:ascii="Garamond" w:hAnsi="Garamond"/>
              </w:rPr>
              <w:t>e</w:t>
            </w:r>
            <w:r w:rsidRPr="00C20B08">
              <w:rPr>
                <w:rFonts w:ascii="Garamond" w:hAnsi="Garamond"/>
              </w:rPr>
              <w:t xml:space="preserve"> I </w:t>
            </w:r>
            <w:r w:rsidR="00925CF0">
              <w:rPr>
                <w:rFonts w:ascii="Garamond" w:hAnsi="Garamond"/>
              </w:rPr>
              <w:t xml:space="preserve">du Règlement </w:t>
            </w:r>
            <w:r w:rsidRPr="00C20B08">
              <w:rPr>
                <w:rFonts w:ascii="Garamond" w:hAnsi="Garamond"/>
              </w:rPr>
              <w:t>250/2009).</w:t>
            </w:r>
          </w:p>
          <w:p w14:paraId="2DD87D09" w14:textId="77777777" w:rsidR="000976EB" w:rsidRDefault="000976EB" w:rsidP="00CB5C80">
            <w:pPr>
              <w:spacing w:after="0"/>
              <w:rPr>
                <w:rFonts w:ascii="Garamond" w:hAnsi="Garamond"/>
              </w:rPr>
            </w:pPr>
          </w:p>
          <w:p w14:paraId="59FC04BD" w14:textId="1864BEF7" w:rsidR="0009078E" w:rsidRDefault="0009078E" w:rsidP="00CB5C80">
            <w:pPr>
              <w:spacing w:after="0"/>
              <w:rPr>
                <w:rFonts w:ascii="Garamond" w:hAnsi="Garamond"/>
              </w:rPr>
            </w:pPr>
            <w:r>
              <w:rPr>
                <w:rFonts w:ascii="Garamond" w:hAnsi="Garamond"/>
              </w:rPr>
              <w:t>Extrait de ce Règlement (</w:t>
            </w:r>
            <w:hyperlink r:id="rId10" w:history="1">
              <w:r w:rsidR="000976EB" w:rsidRPr="009F5E99">
                <w:rPr>
                  <w:rStyle w:val="Lienhypertexte"/>
                  <w:rFonts w:ascii="Garamond" w:hAnsi="Garamond"/>
                </w:rPr>
                <w:t>https://publications.europa.eu/en/publication-detail/-/publication/fac672e4-dad7-11e3-8cd4-01aa75ed71a1/language-en</w:t>
              </w:r>
            </w:hyperlink>
            <w:r>
              <w:rPr>
                <w:rFonts w:ascii="Garamond" w:hAnsi="Garamond"/>
              </w:rPr>
              <w:t>)</w:t>
            </w:r>
            <w:r w:rsidR="000976EB">
              <w:rPr>
                <w:rFonts w:ascii="Garamond" w:hAnsi="Garamond"/>
              </w:rPr>
              <w:t> :</w:t>
            </w:r>
          </w:p>
          <w:p w14:paraId="6BFEBB1B" w14:textId="77777777" w:rsidR="000976EB" w:rsidRDefault="000976EB" w:rsidP="00CB5C80">
            <w:pPr>
              <w:spacing w:after="0"/>
              <w:rPr>
                <w:rFonts w:ascii="Garamond" w:hAnsi="Garamond"/>
              </w:rPr>
            </w:pPr>
          </w:p>
          <w:p w14:paraId="344EABD0" w14:textId="77777777" w:rsidR="0009078E" w:rsidRPr="0009078E" w:rsidRDefault="0009078E" w:rsidP="00CB5C80">
            <w:pPr>
              <w:spacing w:after="0"/>
              <w:rPr>
                <w:rFonts w:ascii="Garamond" w:hAnsi="Garamond"/>
              </w:rPr>
            </w:pPr>
            <w:r w:rsidRPr="0009078E">
              <w:rPr>
                <w:rFonts w:ascii="Garamond" w:hAnsi="Garamond"/>
              </w:rPr>
              <w:t>Code: 11 61 0</w:t>
            </w:r>
          </w:p>
          <w:p w14:paraId="2E7C4F6C" w14:textId="77777777" w:rsidR="000976EB" w:rsidRDefault="000976EB" w:rsidP="00CB5C80">
            <w:pPr>
              <w:spacing w:after="0"/>
              <w:rPr>
                <w:rFonts w:ascii="Garamond" w:hAnsi="Garamond"/>
              </w:rPr>
            </w:pPr>
          </w:p>
          <w:p w14:paraId="49222CA5" w14:textId="2A4EDCE0" w:rsidR="0009078E" w:rsidRPr="0009078E" w:rsidRDefault="0009078E" w:rsidP="00CB5C80">
            <w:pPr>
              <w:spacing w:after="0"/>
              <w:rPr>
                <w:rFonts w:ascii="Garamond" w:hAnsi="Garamond"/>
              </w:rPr>
            </w:pPr>
            <w:r w:rsidRPr="0009078E">
              <w:rPr>
                <w:rFonts w:ascii="Garamond" w:hAnsi="Garamond"/>
              </w:rPr>
              <w:t>Intitulé: Nombre de régimes de pension</w:t>
            </w:r>
          </w:p>
          <w:p w14:paraId="58D3A602" w14:textId="77777777" w:rsidR="000976EB" w:rsidRDefault="000976EB" w:rsidP="00CB5C80">
            <w:pPr>
              <w:spacing w:after="0"/>
              <w:rPr>
                <w:rFonts w:ascii="Garamond" w:hAnsi="Garamond"/>
              </w:rPr>
            </w:pPr>
          </w:p>
          <w:p w14:paraId="3F1786DD" w14:textId="241871D4" w:rsidR="0009078E" w:rsidRPr="0009078E" w:rsidRDefault="0009078E" w:rsidP="00CB5C80">
            <w:pPr>
              <w:spacing w:after="0"/>
              <w:rPr>
                <w:rFonts w:ascii="Garamond" w:hAnsi="Garamond"/>
              </w:rPr>
            </w:pPr>
            <w:r w:rsidRPr="0009078E">
              <w:rPr>
                <w:rFonts w:ascii="Garamond" w:hAnsi="Garamond"/>
              </w:rPr>
              <w:t>Annexe: VII</w:t>
            </w:r>
          </w:p>
          <w:p w14:paraId="6863E92B" w14:textId="77777777" w:rsidR="000976EB" w:rsidRDefault="000976EB" w:rsidP="00CB5C80">
            <w:pPr>
              <w:spacing w:after="0"/>
              <w:rPr>
                <w:rFonts w:ascii="Garamond" w:hAnsi="Garamond"/>
              </w:rPr>
            </w:pPr>
          </w:p>
          <w:p w14:paraId="049DACB9" w14:textId="6ADBFF8D" w:rsidR="0009078E" w:rsidRPr="0009078E" w:rsidRDefault="0009078E" w:rsidP="00CB5C80">
            <w:pPr>
              <w:spacing w:after="0"/>
              <w:rPr>
                <w:rFonts w:ascii="Garamond" w:hAnsi="Garamond"/>
              </w:rPr>
            </w:pPr>
            <w:r w:rsidRPr="0009078E">
              <w:rPr>
                <w:rFonts w:ascii="Garamond" w:hAnsi="Garamond"/>
              </w:rPr>
              <w:t>Définition</w:t>
            </w:r>
            <w:r w:rsidR="000976EB">
              <w:rPr>
                <w:rFonts w:ascii="Garamond" w:hAnsi="Garamond"/>
              </w:rPr>
              <w:t> :</w:t>
            </w:r>
          </w:p>
          <w:p w14:paraId="6E29D74B" w14:textId="7AB6004E" w:rsidR="00CA246B" w:rsidRPr="00CB5C80" w:rsidRDefault="0009078E" w:rsidP="00CB5C80">
            <w:pPr>
              <w:spacing w:after="0"/>
              <w:rPr>
                <w:rFonts w:ascii="Garamond" w:hAnsi="Garamond"/>
              </w:rPr>
            </w:pPr>
            <w:r w:rsidRPr="0009078E">
              <w:rPr>
                <w:rFonts w:ascii="Garamond" w:hAnsi="Garamond"/>
              </w:rPr>
              <w:t>Cette variable couvre le nombre total de régimes de pension dont la gestion est assurée par les fonds de pension. Un régime de pension se fonde sur un accord, en général entre des partenaires sociaux, précisant quelles prestations de retraite sont accordées et dans quelles conditions.</w:t>
            </w:r>
          </w:p>
        </w:tc>
      </w:tr>
      <w:tr w:rsidR="00CA246B" w:rsidRPr="000721D4" w14:paraId="5E9D97FB"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53F44F1D" w14:textId="77777777" w:rsidR="00CA246B" w:rsidRPr="00C20B08" w:rsidRDefault="00CA246B" w:rsidP="00CB5C80">
            <w:pPr>
              <w:spacing w:after="0"/>
              <w:rPr>
                <w:rFonts w:ascii="Garamond" w:hAnsi="Garamond"/>
              </w:rPr>
            </w:pPr>
            <w:r w:rsidRPr="00C20B08">
              <w:rPr>
                <w:rFonts w:ascii="Garamond" w:hAnsi="Garamond"/>
              </w:rPr>
              <w:t>Nombre d'entreprise support/ souscriptrices</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5E8BDF01" w14:textId="77777777" w:rsidR="00CA246B" w:rsidRPr="00C20B08" w:rsidRDefault="00040696" w:rsidP="00CB5C80">
            <w:pPr>
              <w:spacing w:after="0"/>
              <w:jc w:val="center"/>
              <w:rPr>
                <w:rFonts w:ascii="Garamond" w:hAnsi="Garamond"/>
              </w:rPr>
            </w:pPr>
            <w:r w:rsidRPr="00040696">
              <w:rPr>
                <w:rFonts w:ascii="Garamond" w:hAnsi="Garamond"/>
              </w:rPr>
              <w:t xml:space="preserve">C0010/ </w:t>
            </w:r>
            <w:r w:rsidR="00CA246B" w:rsidRPr="00C20B08">
              <w:rPr>
                <w:rFonts w:ascii="Garamond" w:hAnsi="Garamond"/>
              </w:rPr>
              <w:t>R0130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36F7108A" w14:textId="77777777" w:rsidR="005B7122" w:rsidRPr="005B7122" w:rsidRDefault="005B7122" w:rsidP="00CB5C80">
            <w:pPr>
              <w:snapToGrid w:val="0"/>
              <w:spacing w:after="0"/>
              <w:rPr>
                <w:rFonts w:ascii="Garamond" w:hAnsi="Garamond"/>
                <w:b/>
                <w:u w:val="single"/>
              </w:rPr>
            </w:pPr>
            <w:r w:rsidRPr="00CA246B">
              <w:rPr>
                <w:rFonts w:ascii="Garamond" w:hAnsi="Garamond"/>
                <w:b/>
                <w:u w:val="single"/>
              </w:rPr>
              <w:t>Annuel et Trimestriel</w:t>
            </w:r>
          </w:p>
          <w:p w14:paraId="426CAFB5" w14:textId="62527C8E" w:rsidR="00CA246B" w:rsidRPr="00CB5C80" w:rsidRDefault="00CA246B" w:rsidP="00CB5C80">
            <w:pPr>
              <w:spacing w:after="0"/>
              <w:rPr>
                <w:rFonts w:ascii="Garamond" w:hAnsi="Garamond"/>
              </w:rPr>
            </w:pPr>
            <w:r w:rsidRPr="00C20B08">
              <w:rPr>
                <w:rFonts w:ascii="Garamond" w:hAnsi="Garamond"/>
              </w:rPr>
              <w:t>Nombre des entreprises ayant des contrats collectifs au sein d</w:t>
            </w:r>
            <w:r w:rsidR="00F9733F">
              <w:rPr>
                <w:rFonts w:ascii="Garamond" w:hAnsi="Garamond"/>
              </w:rPr>
              <w:t>e</w:t>
            </w:r>
            <w:r w:rsidRPr="00C20B08">
              <w:rPr>
                <w:rFonts w:ascii="Garamond" w:hAnsi="Garamond"/>
              </w:rPr>
              <w:t xml:space="preserve"> </w:t>
            </w:r>
            <w:r w:rsidR="00F9733F">
              <w:rPr>
                <w:rFonts w:ascii="Garamond" w:hAnsi="Garamond"/>
              </w:rPr>
              <w:t>l’O</w:t>
            </w:r>
            <w:r w:rsidRPr="00C20B08">
              <w:rPr>
                <w:rFonts w:ascii="Garamond" w:hAnsi="Garamond"/>
              </w:rPr>
              <w:t>RPS concerné.</w:t>
            </w:r>
          </w:p>
        </w:tc>
      </w:tr>
      <w:tr w:rsidR="00CA246B" w:rsidRPr="00C30E60" w14:paraId="677E7213"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0B8FA33C" w14:textId="77777777" w:rsidR="00CA246B" w:rsidRPr="005B7122" w:rsidRDefault="00CA246B" w:rsidP="00CB5C80">
            <w:pPr>
              <w:spacing w:after="0"/>
              <w:rPr>
                <w:rFonts w:ascii="Garamond" w:hAnsi="Garamond"/>
              </w:rPr>
            </w:pPr>
            <w:r w:rsidRPr="005B7122">
              <w:rPr>
                <w:rFonts w:ascii="Garamond" w:hAnsi="Garamond"/>
              </w:rPr>
              <w:t>Augmentation de la contribution de l'employeur</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2075F5FD"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R0140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686A9F6F" w14:textId="77777777" w:rsidR="00932178" w:rsidRPr="00C30E60" w:rsidRDefault="00932178" w:rsidP="00CB5C80">
            <w:pPr>
              <w:spacing w:after="0"/>
              <w:rPr>
                <w:rFonts w:ascii="Garamond" w:hAnsi="Garamond"/>
                <w:b/>
                <w:u w:val="single"/>
              </w:rPr>
            </w:pPr>
            <w:r w:rsidRPr="00C30E60">
              <w:rPr>
                <w:rFonts w:ascii="Garamond" w:hAnsi="Garamond"/>
                <w:b/>
                <w:u w:val="single"/>
              </w:rPr>
              <w:t>Annuel</w:t>
            </w:r>
          </w:p>
          <w:p w14:paraId="4176611E" w14:textId="35DB338D" w:rsidR="004724B0" w:rsidRDefault="000F4479" w:rsidP="000F4479">
            <w:pPr>
              <w:spacing w:after="0"/>
              <w:rPr>
                <w:rFonts w:ascii="Garamond" w:hAnsi="Garamond"/>
              </w:rPr>
            </w:pPr>
            <w:r w:rsidRPr="000F4479">
              <w:rPr>
                <w:rFonts w:ascii="Garamond" w:hAnsi="Garamond"/>
              </w:rPr>
              <w:t>Soutien reçu de l’employeur sous la forme d’une augmentation des cotisations</w:t>
            </w:r>
            <w:r>
              <w:rPr>
                <w:rFonts w:ascii="Garamond" w:hAnsi="Garamond"/>
              </w:rPr>
              <w:t xml:space="preserve">. </w:t>
            </w:r>
            <w:r w:rsidR="004724B0">
              <w:rPr>
                <w:rFonts w:ascii="Garamond" w:hAnsi="Garamond"/>
              </w:rPr>
              <w:t xml:space="preserve">Il faut choisir l’une des options suivantes : </w:t>
            </w:r>
          </w:p>
          <w:p w14:paraId="4D86FE5E" w14:textId="77777777" w:rsidR="004724B0" w:rsidRPr="00932178" w:rsidRDefault="004724B0" w:rsidP="00CB5C80">
            <w:pPr>
              <w:spacing w:after="0"/>
              <w:rPr>
                <w:rFonts w:ascii="Garamond" w:hAnsi="Garamond"/>
              </w:rPr>
            </w:pPr>
            <w:r w:rsidRPr="00932178">
              <w:rPr>
                <w:rFonts w:ascii="Garamond" w:hAnsi="Garamond"/>
              </w:rPr>
              <w:t xml:space="preserve">1 – </w:t>
            </w:r>
            <w:r>
              <w:t xml:space="preserve"> </w:t>
            </w:r>
            <w:r w:rsidRPr="00932178">
              <w:rPr>
                <w:rFonts w:ascii="Garamond" w:hAnsi="Garamond"/>
              </w:rPr>
              <w:t>Augmentation de la contribution de l'employeur</w:t>
            </w:r>
            <w:r>
              <w:rPr>
                <w:rFonts w:ascii="Garamond" w:hAnsi="Garamond"/>
              </w:rPr>
              <w:t xml:space="preserve"> au plan de retraite à des fins de financement.</w:t>
            </w:r>
          </w:p>
          <w:p w14:paraId="1442F35A" w14:textId="7C15373E" w:rsidR="00932178" w:rsidRPr="00C30E60" w:rsidRDefault="004724B0" w:rsidP="00CB5C80">
            <w:pPr>
              <w:spacing w:after="0"/>
              <w:rPr>
                <w:rFonts w:ascii="Garamond" w:hAnsi="Garamond"/>
              </w:rPr>
            </w:pPr>
            <w:r w:rsidRPr="00C30E60">
              <w:rPr>
                <w:rFonts w:ascii="Garamond" w:hAnsi="Garamond"/>
              </w:rPr>
              <w:t xml:space="preserve">2 – </w:t>
            </w:r>
            <w:r>
              <w:t xml:space="preserve"> </w:t>
            </w:r>
            <w:r w:rsidRPr="00C30E60">
              <w:rPr>
                <w:rFonts w:ascii="Garamond" w:hAnsi="Garamond"/>
              </w:rPr>
              <w:t>A</w:t>
            </w:r>
            <w:r>
              <w:rPr>
                <w:rFonts w:ascii="Garamond" w:hAnsi="Garamond"/>
              </w:rPr>
              <w:t>bsence d’a</w:t>
            </w:r>
            <w:r w:rsidRPr="00C30E60">
              <w:rPr>
                <w:rFonts w:ascii="Garamond" w:hAnsi="Garamond"/>
              </w:rPr>
              <w:t>ugmentation de la contribution de l'employeur au plan de retraite à des fins de financement.</w:t>
            </w:r>
          </w:p>
        </w:tc>
      </w:tr>
      <w:tr w:rsidR="00CA246B" w:rsidRPr="004D4B04" w14:paraId="44E3C1C9"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78EB2D72" w14:textId="77777777" w:rsidR="00CA246B" w:rsidRPr="005B7122" w:rsidRDefault="00CA246B" w:rsidP="00CB5C80">
            <w:pPr>
              <w:spacing w:after="0"/>
              <w:rPr>
                <w:rFonts w:ascii="Garamond" w:hAnsi="Garamond"/>
              </w:rPr>
            </w:pPr>
            <w:r w:rsidRPr="005B7122">
              <w:rPr>
                <w:rFonts w:ascii="Garamond" w:hAnsi="Garamond"/>
              </w:rPr>
              <w:t>Augmentation de la contribution de l'employé</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713B79DA"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R0150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5E80C353" w14:textId="77777777" w:rsidR="007B1E31" w:rsidRDefault="004D4B04" w:rsidP="000F4479">
            <w:pPr>
              <w:spacing w:after="0"/>
              <w:rPr>
                <w:rFonts w:ascii="Garamond" w:hAnsi="Garamond"/>
                <w:b/>
                <w:u w:val="single"/>
              </w:rPr>
            </w:pPr>
            <w:r w:rsidRPr="00C30E60">
              <w:rPr>
                <w:rFonts w:ascii="Garamond" w:hAnsi="Garamond"/>
                <w:b/>
                <w:u w:val="single"/>
              </w:rPr>
              <w:t>Annuel</w:t>
            </w:r>
          </w:p>
          <w:p w14:paraId="41EC1B22" w14:textId="2BAFBC16" w:rsidR="004D4B04" w:rsidRPr="00932178" w:rsidRDefault="000F4479" w:rsidP="000F4479">
            <w:pPr>
              <w:spacing w:after="0"/>
              <w:rPr>
                <w:rFonts w:ascii="Garamond" w:hAnsi="Garamond"/>
              </w:rPr>
            </w:pPr>
            <w:r>
              <w:rPr>
                <w:rFonts w:ascii="Garamond" w:hAnsi="Garamond"/>
              </w:rPr>
              <w:t>Soutien reçu des employés</w:t>
            </w:r>
            <w:r w:rsidRPr="000F4479">
              <w:rPr>
                <w:rFonts w:ascii="Garamond" w:hAnsi="Garamond"/>
              </w:rPr>
              <w:t xml:space="preserve"> sous la forme d’une augmentation des cotisations</w:t>
            </w:r>
            <w:r>
              <w:rPr>
                <w:rFonts w:ascii="Garamond" w:hAnsi="Garamond"/>
              </w:rPr>
              <w:t xml:space="preserve">. </w:t>
            </w:r>
            <w:r w:rsidR="004724B0">
              <w:rPr>
                <w:rFonts w:ascii="Garamond" w:hAnsi="Garamond"/>
              </w:rPr>
              <w:t>Il faut choisir l’une des options suivantes :</w:t>
            </w:r>
          </w:p>
          <w:p w14:paraId="19D9C0E5" w14:textId="77777777" w:rsidR="004D4B04" w:rsidRPr="004D4B04" w:rsidRDefault="004D4B04" w:rsidP="00CB5C80">
            <w:pPr>
              <w:spacing w:after="0"/>
              <w:rPr>
                <w:rFonts w:ascii="Garamond" w:hAnsi="Garamond"/>
              </w:rPr>
            </w:pPr>
            <w:r w:rsidRPr="004D4B04">
              <w:rPr>
                <w:rFonts w:ascii="Garamond" w:hAnsi="Garamond"/>
              </w:rPr>
              <w:t xml:space="preserve">1 – </w:t>
            </w:r>
            <w:r>
              <w:t xml:space="preserve"> </w:t>
            </w:r>
            <w:r w:rsidRPr="004D4B04">
              <w:rPr>
                <w:rFonts w:ascii="Garamond" w:hAnsi="Garamond"/>
              </w:rPr>
              <w:t>Augmentation de la contribution de l'employ</w:t>
            </w:r>
            <w:r>
              <w:rPr>
                <w:rFonts w:ascii="Garamond" w:hAnsi="Garamond"/>
              </w:rPr>
              <w:t>é</w:t>
            </w:r>
            <w:r w:rsidRPr="004D4B04">
              <w:rPr>
                <w:rFonts w:ascii="Garamond" w:hAnsi="Garamond"/>
              </w:rPr>
              <w:t xml:space="preserve"> au plan de retraite à des fins de financement</w:t>
            </w:r>
            <w:r>
              <w:rPr>
                <w:rFonts w:ascii="Garamond" w:hAnsi="Garamond"/>
              </w:rPr>
              <w:t>, sous forme d’une augmentation de ses cotisations/primes</w:t>
            </w:r>
            <w:r w:rsidRPr="004D4B04">
              <w:rPr>
                <w:rFonts w:ascii="Garamond" w:hAnsi="Garamond"/>
              </w:rPr>
              <w:t>.</w:t>
            </w:r>
          </w:p>
          <w:p w14:paraId="51C9C6FD" w14:textId="77777777" w:rsidR="004D4B04" w:rsidRPr="004D4B04" w:rsidRDefault="004D4B04" w:rsidP="00CB5C80">
            <w:pPr>
              <w:spacing w:after="0"/>
              <w:rPr>
                <w:rFonts w:ascii="Garamond" w:hAnsi="Garamond"/>
              </w:rPr>
            </w:pPr>
            <w:r w:rsidRPr="004D4B04">
              <w:rPr>
                <w:rFonts w:ascii="Garamond" w:hAnsi="Garamond"/>
              </w:rPr>
              <w:t xml:space="preserve">2 – </w:t>
            </w:r>
            <w:r>
              <w:t xml:space="preserve"> </w:t>
            </w:r>
            <w:r w:rsidRPr="004D4B04">
              <w:rPr>
                <w:rFonts w:ascii="Garamond" w:hAnsi="Garamond"/>
              </w:rPr>
              <w:t>Absence d’augmentation de la contribution de l'employ</w:t>
            </w:r>
            <w:r>
              <w:rPr>
                <w:rFonts w:ascii="Garamond" w:hAnsi="Garamond"/>
              </w:rPr>
              <w:t>é</w:t>
            </w:r>
            <w:r w:rsidRPr="004D4B04">
              <w:rPr>
                <w:rFonts w:ascii="Garamond" w:hAnsi="Garamond"/>
              </w:rPr>
              <w:t xml:space="preserve"> au plan de retraite à des fins de financement</w:t>
            </w:r>
            <w:r>
              <w:rPr>
                <w:rFonts w:ascii="Garamond" w:hAnsi="Garamond"/>
              </w:rPr>
              <w:t>.</w:t>
            </w:r>
          </w:p>
        </w:tc>
      </w:tr>
      <w:tr w:rsidR="00CA246B" w:rsidRPr="007E4715" w14:paraId="2AE7CD52"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708E08BE" w14:textId="77777777" w:rsidR="00CA246B" w:rsidRPr="005B7122" w:rsidRDefault="00CA246B" w:rsidP="00CB5C80">
            <w:pPr>
              <w:spacing w:after="0"/>
              <w:rPr>
                <w:rFonts w:ascii="Garamond" w:hAnsi="Garamond"/>
              </w:rPr>
            </w:pPr>
            <w:r w:rsidRPr="005B7122">
              <w:rPr>
                <w:rFonts w:ascii="Garamond" w:hAnsi="Garamond"/>
              </w:rPr>
              <w:t>Engagement lié du sponsor</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13F2613B"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R0160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5488BFD1" w14:textId="77777777" w:rsidR="00A400B9" w:rsidRPr="00A400B9" w:rsidRDefault="00A400B9" w:rsidP="00CB5C80">
            <w:pPr>
              <w:spacing w:after="0"/>
              <w:rPr>
                <w:rFonts w:ascii="Garamond" w:hAnsi="Garamond"/>
                <w:b/>
                <w:u w:val="single"/>
              </w:rPr>
            </w:pPr>
            <w:r w:rsidRPr="00A400B9">
              <w:rPr>
                <w:rFonts w:ascii="Garamond" w:hAnsi="Garamond"/>
                <w:b/>
                <w:u w:val="single"/>
              </w:rPr>
              <w:t>Annuel</w:t>
            </w:r>
          </w:p>
          <w:p w14:paraId="661249B5" w14:textId="6FD9262C" w:rsidR="00A275FD" w:rsidRDefault="00E70625" w:rsidP="00CB5C80">
            <w:pPr>
              <w:spacing w:after="0"/>
              <w:rPr>
                <w:rFonts w:ascii="Garamond" w:hAnsi="Garamond"/>
              </w:rPr>
            </w:pPr>
            <w:r w:rsidRPr="00E70625">
              <w:rPr>
                <w:rFonts w:ascii="Garamond" w:hAnsi="Garamond"/>
              </w:rPr>
              <w:t>Responsabilité subsidiaire du sponsor</w:t>
            </w:r>
            <w:r>
              <w:rPr>
                <w:rFonts w:ascii="Garamond" w:hAnsi="Garamond"/>
              </w:rPr>
              <w:t xml:space="preserve">. </w:t>
            </w:r>
            <w:r w:rsidR="004724B0">
              <w:rPr>
                <w:rFonts w:ascii="Garamond" w:hAnsi="Garamond"/>
              </w:rPr>
              <w:t xml:space="preserve">Il faut choisir l’une des options suivantes : </w:t>
            </w:r>
          </w:p>
          <w:p w14:paraId="2A336712" w14:textId="77777777" w:rsidR="00A400B9" w:rsidRPr="007E4715" w:rsidRDefault="00A400B9" w:rsidP="00CB5C80">
            <w:pPr>
              <w:spacing w:after="0"/>
              <w:rPr>
                <w:rFonts w:ascii="Garamond" w:hAnsi="Garamond"/>
              </w:rPr>
            </w:pPr>
            <w:r w:rsidRPr="007E4715">
              <w:rPr>
                <w:rFonts w:ascii="Garamond" w:hAnsi="Garamond"/>
              </w:rPr>
              <w:t xml:space="preserve">1 – </w:t>
            </w:r>
            <w:r w:rsidR="007E4715">
              <w:t xml:space="preserve"> </w:t>
            </w:r>
            <w:r w:rsidR="007E4715" w:rsidRPr="007E4715">
              <w:rPr>
                <w:rFonts w:ascii="Garamond" w:hAnsi="Garamond"/>
              </w:rPr>
              <w:t>Engagement lié du sponsor.</w:t>
            </w:r>
          </w:p>
          <w:p w14:paraId="1105E9D2" w14:textId="77777777" w:rsidR="00A400B9" w:rsidRPr="007E4715" w:rsidRDefault="00A400B9" w:rsidP="00CB5C80">
            <w:pPr>
              <w:spacing w:after="0"/>
              <w:rPr>
                <w:rFonts w:ascii="Garamond" w:hAnsi="Garamond"/>
              </w:rPr>
            </w:pPr>
            <w:r w:rsidRPr="007E4715">
              <w:rPr>
                <w:rFonts w:ascii="Garamond" w:hAnsi="Garamond"/>
              </w:rPr>
              <w:t xml:space="preserve">2 – </w:t>
            </w:r>
            <w:r w:rsidR="007E4715">
              <w:t xml:space="preserve"> </w:t>
            </w:r>
            <w:r w:rsidR="007E4715">
              <w:rPr>
                <w:rFonts w:ascii="Garamond" w:hAnsi="Garamond"/>
              </w:rPr>
              <w:t>Absence d’e</w:t>
            </w:r>
            <w:r w:rsidR="007E4715" w:rsidRPr="007E4715">
              <w:rPr>
                <w:rFonts w:ascii="Garamond" w:hAnsi="Garamond"/>
              </w:rPr>
              <w:t>ngagement lié du sponsor</w:t>
            </w:r>
          </w:p>
        </w:tc>
      </w:tr>
      <w:tr w:rsidR="00CA246B" w:rsidRPr="005B7122" w14:paraId="772B1778"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19BC86D4" w14:textId="77777777" w:rsidR="00CA246B" w:rsidRPr="005B7122" w:rsidRDefault="00CA246B" w:rsidP="00CB5C80">
            <w:pPr>
              <w:spacing w:after="0"/>
              <w:rPr>
                <w:rFonts w:ascii="Garamond" w:hAnsi="Garamond"/>
              </w:rPr>
            </w:pPr>
            <w:r w:rsidRPr="005B7122">
              <w:rPr>
                <w:rFonts w:ascii="Garamond" w:hAnsi="Garamond"/>
              </w:rPr>
              <w:t>Autres engagements du sponsor</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708D23CB"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R0170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71A30619" w14:textId="77777777" w:rsidR="00520301" w:rsidRPr="00A400B9" w:rsidRDefault="00520301" w:rsidP="00CB5C80">
            <w:pPr>
              <w:spacing w:after="0"/>
              <w:rPr>
                <w:rFonts w:ascii="Garamond" w:hAnsi="Garamond"/>
                <w:b/>
                <w:u w:val="single"/>
              </w:rPr>
            </w:pPr>
            <w:r w:rsidRPr="00A400B9">
              <w:rPr>
                <w:rFonts w:ascii="Garamond" w:hAnsi="Garamond"/>
                <w:b/>
                <w:u w:val="single"/>
              </w:rPr>
              <w:t>Annuel</w:t>
            </w:r>
          </w:p>
          <w:p w14:paraId="1ABED7F0" w14:textId="4DB7851D" w:rsidR="00520301" w:rsidRDefault="004724B0" w:rsidP="00CB5C80">
            <w:pPr>
              <w:spacing w:after="0"/>
              <w:rPr>
                <w:rFonts w:ascii="Garamond" w:hAnsi="Garamond"/>
              </w:rPr>
            </w:pPr>
            <w:r>
              <w:rPr>
                <w:rFonts w:ascii="Garamond" w:hAnsi="Garamond"/>
              </w:rPr>
              <w:t xml:space="preserve">Il faut choisir l’une des options suivantes : </w:t>
            </w:r>
          </w:p>
          <w:p w14:paraId="266EC178" w14:textId="77777777" w:rsidR="00520301" w:rsidRPr="007E4715" w:rsidRDefault="00520301" w:rsidP="00CB5C80">
            <w:pPr>
              <w:spacing w:after="0"/>
              <w:rPr>
                <w:rFonts w:ascii="Garamond" w:hAnsi="Garamond"/>
              </w:rPr>
            </w:pPr>
            <w:r w:rsidRPr="007E4715">
              <w:rPr>
                <w:rFonts w:ascii="Garamond" w:hAnsi="Garamond"/>
              </w:rPr>
              <w:t xml:space="preserve">1 – </w:t>
            </w:r>
            <w:r w:rsidRPr="00CB5C80">
              <w:rPr>
                <w:rFonts w:ascii="Garamond" w:hAnsi="Garamond"/>
              </w:rPr>
              <w:t xml:space="preserve"> Autres </w:t>
            </w:r>
            <w:r w:rsidRPr="007E4715">
              <w:rPr>
                <w:rFonts w:ascii="Garamond" w:hAnsi="Garamond"/>
              </w:rPr>
              <w:t>Engagement</w:t>
            </w:r>
            <w:r>
              <w:rPr>
                <w:rFonts w:ascii="Garamond" w:hAnsi="Garamond"/>
              </w:rPr>
              <w:t>s</w:t>
            </w:r>
            <w:r w:rsidRPr="007E4715">
              <w:rPr>
                <w:rFonts w:ascii="Garamond" w:hAnsi="Garamond"/>
              </w:rPr>
              <w:t xml:space="preserve"> lié du sponsor.</w:t>
            </w:r>
          </w:p>
          <w:p w14:paraId="0200E3AD" w14:textId="77777777" w:rsidR="00CA246B" w:rsidRPr="005B7122" w:rsidRDefault="00520301" w:rsidP="00CB5C80">
            <w:pPr>
              <w:spacing w:after="0"/>
              <w:rPr>
                <w:rFonts w:ascii="Garamond" w:hAnsi="Garamond"/>
              </w:rPr>
            </w:pPr>
            <w:r w:rsidRPr="007E4715">
              <w:rPr>
                <w:rFonts w:ascii="Garamond" w:hAnsi="Garamond"/>
              </w:rPr>
              <w:t xml:space="preserve">2 – </w:t>
            </w:r>
            <w:r w:rsidRPr="00CB5C80">
              <w:rPr>
                <w:rFonts w:ascii="Garamond" w:hAnsi="Garamond"/>
              </w:rPr>
              <w:t xml:space="preserve"> </w:t>
            </w:r>
            <w:r>
              <w:rPr>
                <w:rFonts w:ascii="Garamond" w:hAnsi="Garamond"/>
              </w:rPr>
              <w:t>Absence d’autres e</w:t>
            </w:r>
            <w:r w:rsidRPr="007E4715">
              <w:rPr>
                <w:rFonts w:ascii="Garamond" w:hAnsi="Garamond"/>
              </w:rPr>
              <w:t>ngagement</w:t>
            </w:r>
            <w:r>
              <w:rPr>
                <w:rFonts w:ascii="Garamond" w:hAnsi="Garamond"/>
              </w:rPr>
              <w:t>s</w:t>
            </w:r>
            <w:r w:rsidRPr="007E4715">
              <w:rPr>
                <w:rFonts w:ascii="Garamond" w:hAnsi="Garamond"/>
              </w:rPr>
              <w:t xml:space="preserve"> lié du sponsor</w:t>
            </w:r>
          </w:p>
        </w:tc>
      </w:tr>
      <w:tr w:rsidR="00CA246B" w:rsidRPr="005B7122" w14:paraId="2DAAC2FF"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4B305C91" w14:textId="77777777" w:rsidR="00CA246B" w:rsidRPr="005B7122" w:rsidRDefault="00CA246B" w:rsidP="00CB5C80">
            <w:pPr>
              <w:spacing w:after="0"/>
              <w:rPr>
                <w:rFonts w:ascii="Garamond" w:hAnsi="Garamond"/>
              </w:rPr>
            </w:pPr>
            <w:r w:rsidRPr="005B7122">
              <w:rPr>
                <w:rFonts w:ascii="Garamond" w:hAnsi="Garamond"/>
              </w:rPr>
              <w:t>Autres</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195C0EE7"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R0180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7BB480CB" w14:textId="77777777" w:rsidR="00EC7E0D" w:rsidRPr="00A400B9" w:rsidRDefault="00EC7E0D" w:rsidP="00CB5C80">
            <w:pPr>
              <w:spacing w:after="0"/>
              <w:rPr>
                <w:rFonts w:ascii="Garamond" w:hAnsi="Garamond"/>
                <w:b/>
                <w:u w:val="single"/>
              </w:rPr>
            </w:pPr>
            <w:r w:rsidRPr="00A400B9">
              <w:rPr>
                <w:rFonts w:ascii="Garamond" w:hAnsi="Garamond"/>
                <w:b/>
                <w:u w:val="single"/>
              </w:rPr>
              <w:t>Annuel</w:t>
            </w:r>
          </w:p>
          <w:p w14:paraId="614086BB" w14:textId="4A588D41" w:rsidR="00A275FD" w:rsidRPr="008D7890" w:rsidRDefault="00B15E42" w:rsidP="00CB5C80">
            <w:pPr>
              <w:spacing w:after="0"/>
              <w:rPr>
                <w:rFonts w:ascii="Garamond" w:hAnsi="Garamond"/>
              </w:rPr>
            </w:pPr>
            <w:r w:rsidRPr="00B15E42">
              <w:rPr>
                <w:rFonts w:ascii="Garamond" w:hAnsi="Garamond"/>
              </w:rPr>
              <w:t xml:space="preserve">Tout autre </w:t>
            </w:r>
            <w:r>
              <w:rPr>
                <w:rFonts w:ascii="Garamond" w:hAnsi="Garamond"/>
              </w:rPr>
              <w:t>support</w:t>
            </w:r>
            <w:r w:rsidRPr="00B15E42">
              <w:rPr>
                <w:rFonts w:ascii="Garamond" w:hAnsi="Garamond"/>
              </w:rPr>
              <w:t xml:space="preserve"> supplémentaire non mentionné ailleurs</w:t>
            </w:r>
            <w:r>
              <w:rPr>
                <w:rFonts w:ascii="Garamond" w:hAnsi="Garamond"/>
              </w:rPr>
              <w:t xml:space="preserve">. </w:t>
            </w:r>
            <w:r w:rsidR="00E24DAF" w:rsidRPr="00E24DAF">
              <w:rPr>
                <w:rFonts w:ascii="Garamond" w:hAnsi="Garamond"/>
              </w:rPr>
              <w:t xml:space="preserve">Il faut choisir l’une des options suivantes : </w:t>
            </w:r>
          </w:p>
          <w:p w14:paraId="03CA3D2F" w14:textId="18381210" w:rsidR="008D7890" w:rsidRPr="008D7890" w:rsidRDefault="008D7890" w:rsidP="00CB5C80">
            <w:pPr>
              <w:spacing w:after="0"/>
              <w:rPr>
                <w:rFonts w:ascii="Garamond" w:hAnsi="Garamond"/>
              </w:rPr>
            </w:pPr>
            <w:r w:rsidRPr="008D7890">
              <w:rPr>
                <w:rFonts w:ascii="Garamond" w:hAnsi="Garamond"/>
              </w:rPr>
              <w:t>1 –</w:t>
            </w:r>
            <w:r w:rsidR="00CB5C80">
              <w:rPr>
                <w:rFonts w:ascii="Garamond" w:hAnsi="Garamond"/>
              </w:rPr>
              <w:t xml:space="preserve"> </w:t>
            </w:r>
            <w:r w:rsidR="002D6B3E" w:rsidRPr="007B1E31">
              <w:rPr>
                <w:rFonts w:ascii="Garamond" w:hAnsi="Garamond"/>
              </w:rPr>
              <w:t xml:space="preserve"> </w:t>
            </w:r>
            <w:r w:rsidR="002D6B3E" w:rsidRPr="002D6B3E">
              <w:rPr>
                <w:rFonts w:ascii="Garamond" w:hAnsi="Garamond"/>
              </w:rPr>
              <w:t>Autres mé</w:t>
            </w:r>
            <w:r w:rsidR="002D6B3E">
              <w:rPr>
                <w:rFonts w:ascii="Garamond" w:hAnsi="Garamond"/>
              </w:rPr>
              <w:t>canismes de Support</w:t>
            </w:r>
            <w:r w:rsidRPr="008D7890">
              <w:rPr>
                <w:rFonts w:ascii="Garamond" w:hAnsi="Garamond"/>
              </w:rPr>
              <w:t>.</w:t>
            </w:r>
          </w:p>
          <w:p w14:paraId="0099F724" w14:textId="7168C1DB" w:rsidR="008D7890" w:rsidRPr="005B7122" w:rsidRDefault="008D7890" w:rsidP="00CB5C80">
            <w:pPr>
              <w:spacing w:after="0"/>
              <w:rPr>
                <w:rFonts w:ascii="Garamond" w:hAnsi="Garamond"/>
              </w:rPr>
            </w:pPr>
            <w:r w:rsidRPr="008D7890">
              <w:rPr>
                <w:rFonts w:ascii="Garamond" w:hAnsi="Garamond"/>
              </w:rPr>
              <w:t xml:space="preserve">2 –  Absence </w:t>
            </w:r>
            <w:r w:rsidR="002D6B3E" w:rsidRPr="007B1E31">
              <w:rPr>
                <w:rFonts w:ascii="Garamond" w:hAnsi="Garamond"/>
              </w:rPr>
              <w:t xml:space="preserve"> d’autres </w:t>
            </w:r>
            <w:r w:rsidR="002D6B3E" w:rsidRPr="002D6B3E">
              <w:rPr>
                <w:rFonts w:ascii="Garamond" w:hAnsi="Garamond"/>
              </w:rPr>
              <w:t>mécanismes de Support.</w:t>
            </w:r>
          </w:p>
        </w:tc>
      </w:tr>
      <w:tr w:rsidR="00CA246B" w:rsidRPr="00EC7E0D" w14:paraId="0A1EE193"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2A5DDC34" w14:textId="77777777" w:rsidR="00CA246B" w:rsidRPr="005B7122" w:rsidRDefault="00CA246B" w:rsidP="00CB5C80">
            <w:pPr>
              <w:spacing w:after="0"/>
              <w:rPr>
                <w:rFonts w:ascii="Garamond" w:hAnsi="Garamond"/>
              </w:rPr>
            </w:pPr>
            <w:r w:rsidRPr="005B7122">
              <w:rPr>
                <w:rFonts w:ascii="Garamond" w:hAnsi="Garamond"/>
              </w:rPr>
              <w:t>Due au défaut du sponsor</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6DD58710"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R0190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33AB584A" w14:textId="77777777" w:rsidR="00EC7E0D" w:rsidRPr="00C30E60" w:rsidRDefault="00EC7E0D" w:rsidP="00CB5C80">
            <w:pPr>
              <w:spacing w:after="0"/>
              <w:rPr>
                <w:rFonts w:ascii="Garamond" w:hAnsi="Garamond"/>
                <w:b/>
                <w:u w:val="single"/>
              </w:rPr>
            </w:pPr>
            <w:r w:rsidRPr="00C30E60">
              <w:rPr>
                <w:rFonts w:ascii="Garamond" w:hAnsi="Garamond"/>
                <w:b/>
                <w:u w:val="single"/>
              </w:rPr>
              <w:t>Annuel</w:t>
            </w:r>
          </w:p>
          <w:p w14:paraId="4D0497A8" w14:textId="4B1F15C1" w:rsidR="00EC7E0D" w:rsidRPr="00932178" w:rsidRDefault="00B15E42" w:rsidP="00CB5C80">
            <w:pPr>
              <w:spacing w:after="0"/>
              <w:rPr>
                <w:rFonts w:ascii="Garamond" w:hAnsi="Garamond"/>
              </w:rPr>
            </w:pPr>
            <w:r>
              <w:rPr>
                <w:rFonts w:ascii="Garamond" w:hAnsi="Garamond"/>
              </w:rPr>
              <w:t xml:space="preserve">Réduction des prestations suite à la défaillance du sponsor. </w:t>
            </w:r>
            <w:r w:rsidR="00E24DAF" w:rsidRPr="00E24DAF">
              <w:rPr>
                <w:rFonts w:ascii="Garamond" w:hAnsi="Garamond"/>
              </w:rPr>
              <w:t xml:space="preserve">Il faut choisir l’une des options suivantes : </w:t>
            </w:r>
          </w:p>
          <w:p w14:paraId="443ADF66" w14:textId="47037C44" w:rsidR="00EC7E0D" w:rsidRPr="00EC7E0D" w:rsidRDefault="00EC7E0D" w:rsidP="00CB5C80">
            <w:pPr>
              <w:spacing w:after="0"/>
              <w:rPr>
                <w:rFonts w:ascii="Garamond" w:hAnsi="Garamond"/>
              </w:rPr>
            </w:pPr>
            <w:r w:rsidRPr="00EC7E0D">
              <w:rPr>
                <w:rFonts w:ascii="Garamond" w:hAnsi="Garamond"/>
              </w:rPr>
              <w:t>1 –</w:t>
            </w:r>
            <w:r w:rsidR="00B15E42">
              <w:rPr>
                <w:rFonts w:ascii="Garamond" w:hAnsi="Garamond"/>
              </w:rPr>
              <w:t>R</w:t>
            </w:r>
            <w:r w:rsidRPr="00EC7E0D">
              <w:rPr>
                <w:rFonts w:ascii="Garamond" w:hAnsi="Garamond"/>
              </w:rPr>
              <w:t xml:space="preserve">éduction </w:t>
            </w:r>
            <w:r w:rsidR="00B15E42">
              <w:rPr>
                <w:rFonts w:ascii="Garamond" w:hAnsi="Garamond"/>
              </w:rPr>
              <w:t>des prestations suite à la défaillance du sponsor appliquée.</w:t>
            </w:r>
          </w:p>
          <w:p w14:paraId="21991DF4" w14:textId="72B824F0" w:rsidR="00EC7E0D" w:rsidRPr="00EC7E0D" w:rsidRDefault="00EC7E0D" w:rsidP="00B15E42">
            <w:pPr>
              <w:spacing w:after="0"/>
              <w:rPr>
                <w:rFonts w:ascii="Garamond" w:hAnsi="Garamond"/>
              </w:rPr>
            </w:pPr>
            <w:r w:rsidRPr="00EC7E0D">
              <w:rPr>
                <w:rFonts w:ascii="Garamond" w:hAnsi="Garamond"/>
              </w:rPr>
              <w:t xml:space="preserve">2 – </w:t>
            </w:r>
            <w:r>
              <w:t xml:space="preserve"> </w:t>
            </w:r>
            <w:r w:rsidR="00B15E42">
              <w:rPr>
                <w:rFonts w:ascii="Garamond" w:hAnsi="Garamond"/>
              </w:rPr>
              <w:t>Aucune réduction des prestations suite à la défaillance du sponsor n’a été appliquée.</w:t>
            </w:r>
            <w:r w:rsidRPr="00EC7E0D">
              <w:rPr>
                <w:rFonts w:ascii="Garamond" w:hAnsi="Garamond"/>
              </w:rPr>
              <w:t xml:space="preserve"> </w:t>
            </w:r>
          </w:p>
        </w:tc>
      </w:tr>
      <w:tr w:rsidR="00CA246B" w:rsidRPr="005B7122" w14:paraId="34FA231A"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nil"/>
              <w:left w:val="single" w:sz="4" w:space="0" w:color="auto"/>
              <w:bottom w:val="single" w:sz="4" w:space="0" w:color="auto"/>
              <w:right w:val="single" w:sz="4" w:space="0" w:color="auto"/>
            </w:tcBorders>
            <w:shd w:val="clear" w:color="000000" w:fill="FFFFFF"/>
            <w:hideMark/>
          </w:tcPr>
          <w:p w14:paraId="5DC08643" w14:textId="213952C4" w:rsidR="00CA246B" w:rsidRPr="005B7122" w:rsidRDefault="00B15E42" w:rsidP="00CB5C80">
            <w:pPr>
              <w:spacing w:after="0"/>
              <w:rPr>
                <w:rFonts w:ascii="Garamond" w:hAnsi="Garamond"/>
              </w:rPr>
            </w:pPr>
            <w:r>
              <w:rPr>
                <w:rFonts w:ascii="Garamond" w:hAnsi="Garamond"/>
              </w:rPr>
              <w:t>R</w:t>
            </w:r>
            <w:r w:rsidR="00CA246B" w:rsidRPr="005B7122">
              <w:rPr>
                <w:rFonts w:ascii="Garamond" w:hAnsi="Garamond"/>
              </w:rPr>
              <w:t xml:space="preserve">éduction prestation / point </w:t>
            </w:r>
            <w:r w:rsidR="00CA246B" w:rsidRPr="005B7122">
              <w:rPr>
                <w:rFonts w:ascii="Garamond" w:hAnsi="Garamond"/>
                <w:i/>
                <w:iCs/>
              </w:rPr>
              <w:t>ex post</w:t>
            </w:r>
          </w:p>
        </w:tc>
        <w:tc>
          <w:tcPr>
            <w:tcW w:w="489" w:type="pct"/>
            <w:tcBorders>
              <w:top w:val="nil"/>
              <w:left w:val="single" w:sz="4" w:space="0" w:color="auto"/>
              <w:bottom w:val="single" w:sz="4" w:space="0" w:color="auto"/>
              <w:right w:val="single" w:sz="4" w:space="0" w:color="auto"/>
            </w:tcBorders>
            <w:shd w:val="clear" w:color="000000" w:fill="FFFFFF"/>
            <w:hideMark/>
          </w:tcPr>
          <w:p w14:paraId="3DEBAB94"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R0200</w:t>
            </w:r>
          </w:p>
        </w:tc>
        <w:tc>
          <w:tcPr>
            <w:tcW w:w="3176" w:type="pct"/>
            <w:tcBorders>
              <w:top w:val="nil"/>
              <w:left w:val="single" w:sz="4" w:space="0" w:color="auto"/>
              <w:bottom w:val="single" w:sz="4" w:space="0" w:color="auto"/>
              <w:right w:val="single" w:sz="4" w:space="0" w:color="auto"/>
            </w:tcBorders>
            <w:shd w:val="clear" w:color="000000" w:fill="FFFFFF"/>
          </w:tcPr>
          <w:p w14:paraId="1522348B" w14:textId="77777777" w:rsidR="00852B10" w:rsidRPr="00852B10" w:rsidRDefault="00852B10" w:rsidP="00CB5C80">
            <w:pPr>
              <w:spacing w:after="0"/>
              <w:rPr>
                <w:rFonts w:ascii="Garamond" w:hAnsi="Garamond"/>
                <w:b/>
                <w:u w:val="single"/>
              </w:rPr>
            </w:pPr>
            <w:r w:rsidRPr="00C30E60">
              <w:rPr>
                <w:rFonts w:ascii="Garamond" w:hAnsi="Garamond"/>
                <w:b/>
                <w:u w:val="single"/>
              </w:rPr>
              <w:t>Annuel</w:t>
            </w:r>
          </w:p>
          <w:p w14:paraId="07809EE8" w14:textId="47AA35FD" w:rsidR="00A275FD" w:rsidRPr="00932178" w:rsidRDefault="00E24DAF" w:rsidP="00CB5C80">
            <w:pPr>
              <w:spacing w:after="0"/>
              <w:rPr>
                <w:rFonts w:ascii="Garamond" w:hAnsi="Garamond"/>
              </w:rPr>
            </w:pPr>
            <w:r w:rsidRPr="00E24DAF">
              <w:rPr>
                <w:rFonts w:ascii="Garamond" w:hAnsi="Garamond"/>
              </w:rPr>
              <w:t>Il faut choisir l’une des options suivantes</w:t>
            </w:r>
            <w:r>
              <w:rPr>
                <w:rFonts w:ascii="Garamond" w:hAnsi="Garamond"/>
              </w:rPr>
              <w:t> :</w:t>
            </w:r>
          </w:p>
          <w:p w14:paraId="69345A57" w14:textId="2F28FF13" w:rsidR="005E5A7D" w:rsidRPr="00EC7E0D" w:rsidRDefault="005E5A7D" w:rsidP="00CB5C80">
            <w:pPr>
              <w:spacing w:after="0"/>
              <w:rPr>
                <w:rFonts w:ascii="Garamond" w:hAnsi="Garamond"/>
              </w:rPr>
            </w:pPr>
            <w:r w:rsidRPr="00EC7E0D">
              <w:rPr>
                <w:rFonts w:ascii="Garamond" w:hAnsi="Garamond"/>
              </w:rPr>
              <w:t>1 – Application d’une réduction de</w:t>
            </w:r>
            <w:r w:rsidR="00B15E42">
              <w:rPr>
                <w:rFonts w:ascii="Garamond" w:hAnsi="Garamond"/>
              </w:rPr>
              <w:t xml:space="preserve">s prestations </w:t>
            </w:r>
            <w:r w:rsidRPr="00EC7E0D">
              <w:rPr>
                <w:rFonts w:ascii="Garamond" w:hAnsi="Garamond"/>
              </w:rPr>
              <w:t xml:space="preserve">t </w:t>
            </w:r>
            <w:r>
              <w:rPr>
                <w:rFonts w:ascii="Garamond" w:hAnsi="Garamond"/>
              </w:rPr>
              <w:t>Ex Post</w:t>
            </w:r>
          </w:p>
          <w:p w14:paraId="187AAAE0" w14:textId="52CE3585" w:rsidR="007A5095" w:rsidRPr="005B7122" w:rsidRDefault="005E5A7D" w:rsidP="00B15E42">
            <w:pPr>
              <w:spacing w:after="0"/>
              <w:rPr>
                <w:rFonts w:ascii="Garamond" w:hAnsi="Garamond"/>
              </w:rPr>
            </w:pPr>
            <w:r w:rsidRPr="00EC7E0D">
              <w:rPr>
                <w:rFonts w:ascii="Garamond" w:hAnsi="Garamond"/>
              </w:rPr>
              <w:t xml:space="preserve">2 – </w:t>
            </w:r>
            <w:r>
              <w:t xml:space="preserve"> </w:t>
            </w:r>
            <w:r w:rsidRPr="00EC7E0D">
              <w:rPr>
                <w:rFonts w:ascii="Garamond" w:hAnsi="Garamond"/>
              </w:rPr>
              <w:t>A</w:t>
            </w:r>
            <w:r>
              <w:rPr>
                <w:rFonts w:ascii="Garamond" w:hAnsi="Garamond"/>
              </w:rPr>
              <w:t>bsence d’a</w:t>
            </w:r>
            <w:r w:rsidRPr="00EC7E0D">
              <w:rPr>
                <w:rFonts w:ascii="Garamond" w:hAnsi="Garamond"/>
              </w:rPr>
              <w:t xml:space="preserve">pplication d’une réduction </w:t>
            </w:r>
            <w:r w:rsidR="00B15E42">
              <w:rPr>
                <w:rFonts w:ascii="Garamond" w:hAnsi="Garamond"/>
              </w:rPr>
              <w:t>des prestations</w:t>
            </w:r>
            <w:r w:rsidRPr="00EC7E0D">
              <w:rPr>
                <w:rFonts w:ascii="Garamond" w:hAnsi="Garamond"/>
              </w:rPr>
              <w:t xml:space="preserve"> </w:t>
            </w:r>
            <w:r>
              <w:rPr>
                <w:rFonts w:ascii="Garamond" w:hAnsi="Garamond"/>
              </w:rPr>
              <w:t>Ex Post</w:t>
            </w:r>
          </w:p>
        </w:tc>
      </w:tr>
      <w:tr w:rsidR="00CA246B" w:rsidRPr="005B7122" w14:paraId="63551468"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nil"/>
              <w:left w:val="single" w:sz="4" w:space="0" w:color="auto"/>
              <w:bottom w:val="single" w:sz="4" w:space="0" w:color="auto"/>
              <w:right w:val="single" w:sz="4" w:space="0" w:color="auto"/>
            </w:tcBorders>
            <w:shd w:val="clear" w:color="000000" w:fill="FFFFFF"/>
            <w:hideMark/>
          </w:tcPr>
          <w:p w14:paraId="7B215A1C" w14:textId="239F4812" w:rsidR="00CA246B" w:rsidRPr="005B7122" w:rsidRDefault="00B15E42" w:rsidP="00CB5C80">
            <w:pPr>
              <w:spacing w:after="0"/>
              <w:rPr>
                <w:rFonts w:ascii="Garamond" w:hAnsi="Garamond"/>
              </w:rPr>
            </w:pPr>
            <w:r>
              <w:rPr>
                <w:rFonts w:ascii="Garamond" w:hAnsi="Garamond"/>
              </w:rPr>
              <w:t>R</w:t>
            </w:r>
            <w:r w:rsidR="00CA246B" w:rsidRPr="005B7122">
              <w:rPr>
                <w:rFonts w:ascii="Garamond" w:hAnsi="Garamond"/>
              </w:rPr>
              <w:t xml:space="preserve">éduction de la prestation / point </w:t>
            </w:r>
            <w:r w:rsidR="00CA246B" w:rsidRPr="005B7122">
              <w:rPr>
                <w:rFonts w:ascii="Garamond" w:hAnsi="Garamond"/>
                <w:i/>
                <w:iCs/>
              </w:rPr>
              <w:t>ex ante</w:t>
            </w:r>
          </w:p>
        </w:tc>
        <w:tc>
          <w:tcPr>
            <w:tcW w:w="489" w:type="pct"/>
            <w:tcBorders>
              <w:top w:val="nil"/>
              <w:left w:val="single" w:sz="4" w:space="0" w:color="auto"/>
              <w:bottom w:val="single" w:sz="4" w:space="0" w:color="auto"/>
              <w:right w:val="single" w:sz="4" w:space="0" w:color="auto"/>
            </w:tcBorders>
            <w:shd w:val="clear" w:color="000000" w:fill="FFFFFF"/>
            <w:hideMark/>
          </w:tcPr>
          <w:p w14:paraId="498AD0D1"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R0210</w:t>
            </w:r>
          </w:p>
        </w:tc>
        <w:tc>
          <w:tcPr>
            <w:tcW w:w="3176" w:type="pct"/>
            <w:tcBorders>
              <w:top w:val="nil"/>
              <w:left w:val="single" w:sz="4" w:space="0" w:color="auto"/>
              <w:bottom w:val="single" w:sz="4" w:space="0" w:color="auto"/>
              <w:right w:val="single" w:sz="4" w:space="0" w:color="auto"/>
            </w:tcBorders>
            <w:shd w:val="clear" w:color="000000" w:fill="FFFFFF"/>
          </w:tcPr>
          <w:p w14:paraId="6D79CA73" w14:textId="77777777" w:rsidR="00852B10" w:rsidRPr="00852B10" w:rsidRDefault="00852B10" w:rsidP="00CB5C80">
            <w:pPr>
              <w:spacing w:after="0"/>
              <w:rPr>
                <w:rFonts w:ascii="Garamond" w:hAnsi="Garamond"/>
                <w:b/>
                <w:u w:val="single"/>
              </w:rPr>
            </w:pPr>
            <w:r w:rsidRPr="00C30E60">
              <w:rPr>
                <w:rFonts w:ascii="Garamond" w:hAnsi="Garamond"/>
                <w:b/>
                <w:u w:val="single"/>
              </w:rPr>
              <w:t>Annuel</w:t>
            </w:r>
          </w:p>
          <w:p w14:paraId="0991DEAB" w14:textId="74541C1A" w:rsidR="00A275FD" w:rsidRPr="00932178" w:rsidRDefault="00E24DAF" w:rsidP="00CB5C80">
            <w:pPr>
              <w:spacing w:after="0"/>
              <w:rPr>
                <w:rFonts w:ascii="Garamond" w:hAnsi="Garamond"/>
              </w:rPr>
            </w:pPr>
            <w:r w:rsidRPr="00E24DAF">
              <w:rPr>
                <w:rFonts w:ascii="Garamond" w:hAnsi="Garamond"/>
              </w:rPr>
              <w:t>Il faut choisir l’une des options suivantes</w:t>
            </w:r>
            <w:r w:rsidR="00F477D5">
              <w:rPr>
                <w:rFonts w:ascii="Garamond" w:hAnsi="Garamond"/>
              </w:rPr>
              <w:t> :</w:t>
            </w:r>
          </w:p>
          <w:p w14:paraId="0D3E2DFD" w14:textId="309CA11F" w:rsidR="005E5A7D" w:rsidRPr="00EC7E0D" w:rsidRDefault="005E5A7D" w:rsidP="00CB5C80">
            <w:pPr>
              <w:spacing w:after="0"/>
              <w:rPr>
                <w:rFonts w:ascii="Garamond" w:hAnsi="Garamond"/>
              </w:rPr>
            </w:pPr>
            <w:r w:rsidRPr="00EC7E0D">
              <w:rPr>
                <w:rFonts w:ascii="Garamond" w:hAnsi="Garamond"/>
              </w:rPr>
              <w:t>1 – Application d’une réduction de</w:t>
            </w:r>
            <w:r w:rsidR="00217721">
              <w:rPr>
                <w:rFonts w:ascii="Garamond" w:hAnsi="Garamond"/>
              </w:rPr>
              <w:t>s prestations</w:t>
            </w:r>
            <w:r w:rsidRPr="00EC7E0D">
              <w:rPr>
                <w:rFonts w:ascii="Garamond" w:hAnsi="Garamond"/>
              </w:rPr>
              <w:t xml:space="preserve"> </w:t>
            </w:r>
            <w:r>
              <w:rPr>
                <w:rFonts w:ascii="Garamond" w:hAnsi="Garamond"/>
              </w:rPr>
              <w:t>Ex Ante</w:t>
            </w:r>
          </w:p>
          <w:p w14:paraId="25770DB1" w14:textId="03DE0027" w:rsidR="00CA246B" w:rsidRPr="005B7122" w:rsidRDefault="005E5A7D" w:rsidP="00217721">
            <w:pPr>
              <w:spacing w:after="0"/>
              <w:rPr>
                <w:rFonts w:ascii="Garamond" w:hAnsi="Garamond"/>
              </w:rPr>
            </w:pPr>
            <w:r w:rsidRPr="00EC7E0D">
              <w:rPr>
                <w:rFonts w:ascii="Garamond" w:hAnsi="Garamond"/>
              </w:rPr>
              <w:t xml:space="preserve">2 – </w:t>
            </w:r>
            <w:r>
              <w:t xml:space="preserve"> </w:t>
            </w:r>
            <w:r w:rsidRPr="00EC7E0D">
              <w:rPr>
                <w:rFonts w:ascii="Garamond" w:hAnsi="Garamond"/>
              </w:rPr>
              <w:t>A</w:t>
            </w:r>
            <w:r>
              <w:rPr>
                <w:rFonts w:ascii="Garamond" w:hAnsi="Garamond"/>
              </w:rPr>
              <w:t>bsence d’a</w:t>
            </w:r>
            <w:r w:rsidRPr="00EC7E0D">
              <w:rPr>
                <w:rFonts w:ascii="Garamond" w:hAnsi="Garamond"/>
              </w:rPr>
              <w:t>pplication d’une réduction de</w:t>
            </w:r>
            <w:r w:rsidR="00217721">
              <w:rPr>
                <w:rFonts w:ascii="Garamond" w:hAnsi="Garamond"/>
              </w:rPr>
              <w:t xml:space="preserve">s prestations </w:t>
            </w:r>
            <w:r>
              <w:rPr>
                <w:rFonts w:ascii="Garamond" w:hAnsi="Garamond"/>
              </w:rPr>
              <w:t>Ex Ante</w:t>
            </w:r>
          </w:p>
        </w:tc>
      </w:tr>
      <w:tr w:rsidR="00CA246B" w:rsidRPr="005B7122" w14:paraId="6DDA36FB"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51FCD7EC" w14:textId="77777777" w:rsidR="00CA246B" w:rsidRPr="005B7122" w:rsidRDefault="00CA246B" w:rsidP="00CB5C80">
            <w:pPr>
              <w:spacing w:after="0"/>
              <w:rPr>
                <w:rFonts w:ascii="Garamond" w:hAnsi="Garamond"/>
              </w:rPr>
            </w:pPr>
            <w:r w:rsidRPr="005B7122">
              <w:rPr>
                <w:rFonts w:ascii="Garamond" w:hAnsi="Garamond"/>
              </w:rPr>
              <w:t>Autre</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6BF45DBC"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R0220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18BCEFCF" w14:textId="77777777" w:rsidR="00852B10" w:rsidRPr="00852B10" w:rsidRDefault="00852B10" w:rsidP="00CB5C80">
            <w:pPr>
              <w:spacing w:after="0"/>
              <w:rPr>
                <w:rFonts w:ascii="Garamond" w:hAnsi="Garamond"/>
                <w:b/>
                <w:u w:val="single"/>
              </w:rPr>
            </w:pPr>
            <w:r w:rsidRPr="00C30E60">
              <w:rPr>
                <w:rFonts w:ascii="Garamond" w:hAnsi="Garamond"/>
                <w:b/>
                <w:u w:val="single"/>
              </w:rPr>
              <w:t>Annuel</w:t>
            </w:r>
          </w:p>
          <w:p w14:paraId="16A291B9" w14:textId="4F83432B" w:rsidR="00A275FD" w:rsidRPr="00932178" w:rsidRDefault="00217721" w:rsidP="00CB5C80">
            <w:pPr>
              <w:spacing w:after="0"/>
              <w:rPr>
                <w:rFonts w:ascii="Garamond" w:hAnsi="Garamond"/>
              </w:rPr>
            </w:pPr>
            <w:r w:rsidRPr="00217721">
              <w:rPr>
                <w:rFonts w:ascii="Garamond" w:hAnsi="Garamond"/>
              </w:rPr>
              <w:t>Toute autre réduction des prestations non mentionnée ailleurs</w:t>
            </w:r>
            <w:r>
              <w:rPr>
                <w:rFonts w:ascii="Garamond" w:hAnsi="Garamond"/>
              </w:rPr>
              <w:t xml:space="preserve">. </w:t>
            </w:r>
            <w:r w:rsidR="00E24DAF" w:rsidRPr="00E24DAF">
              <w:rPr>
                <w:rFonts w:ascii="Garamond" w:hAnsi="Garamond"/>
              </w:rPr>
              <w:t>Il faut choisir l’une des options suivantes</w:t>
            </w:r>
            <w:r w:rsidR="00F477D5">
              <w:rPr>
                <w:rFonts w:ascii="Garamond" w:hAnsi="Garamond"/>
              </w:rPr>
              <w:t> :</w:t>
            </w:r>
          </w:p>
          <w:p w14:paraId="54EB9C5B" w14:textId="09FE6323" w:rsidR="001F7454" w:rsidRPr="005B7122" w:rsidRDefault="001F7454" w:rsidP="00217721">
            <w:pPr>
              <w:spacing w:after="0"/>
              <w:rPr>
                <w:rFonts w:ascii="Garamond" w:hAnsi="Garamond"/>
              </w:rPr>
            </w:pPr>
            <w:r w:rsidRPr="00EC7E0D">
              <w:rPr>
                <w:rFonts w:ascii="Garamond" w:hAnsi="Garamond"/>
              </w:rPr>
              <w:t xml:space="preserve">1 – Application d’une </w:t>
            </w:r>
            <w:r>
              <w:rPr>
                <w:rFonts w:ascii="Garamond" w:hAnsi="Garamond"/>
              </w:rPr>
              <w:t xml:space="preserve">autre forme de </w:t>
            </w:r>
            <w:r w:rsidRPr="00EC7E0D">
              <w:rPr>
                <w:rFonts w:ascii="Garamond" w:hAnsi="Garamond"/>
              </w:rPr>
              <w:t>réduction de</w:t>
            </w:r>
            <w:r w:rsidR="00217721">
              <w:rPr>
                <w:rFonts w:ascii="Garamond" w:hAnsi="Garamond"/>
              </w:rPr>
              <w:t>s prestations.</w:t>
            </w:r>
            <w:r w:rsidRPr="00EC7E0D">
              <w:rPr>
                <w:rFonts w:ascii="Garamond" w:hAnsi="Garamond"/>
              </w:rPr>
              <w:t xml:space="preserve">2 – </w:t>
            </w:r>
            <w:r>
              <w:t xml:space="preserve"> </w:t>
            </w:r>
            <w:r w:rsidRPr="00EC7E0D">
              <w:rPr>
                <w:rFonts w:ascii="Garamond" w:hAnsi="Garamond"/>
              </w:rPr>
              <w:t>A</w:t>
            </w:r>
            <w:r>
              <w:rPr>
                <w:rFonts w:ascii="Garamond" w:hAnsi="Garamond"/>
              </w:rPr>
              <w:t>bsence d’a</w:t>
            </w:r>
            <w:r w:rsidRPr="00EC7E0D">
              <w:rPr>
                <w:rFonts w:ascii="Garamond" w:hAnsi="Garamond"/>
              </w:rPr>
              <w:t xml:space="preserve">pplication </w:t>
            </w:r>
            <w:r>
              <w:t xml:space="preserve"> </w:t>
            </w:r>
            <w:r w:rsidRPr="001F7454">
              <w:rPr>
                <w:rFonts w:ascii="Garamond" w:hAnsi="Garamond"/>
              </w:rPr>
              <w:t>d’une autre forme de réduction d</w:t>
            </w:r>
            <w:r w:rsidR="00217721">
              <w:rPr>
                <w:rFonts w:ascii="Garamond" w:hAnsi="Garamond"/>
              </w:rPr>
              <w:t>es prestations.</w:t>
            </w:r>
          </w:p>
        </w:tc>
      </w:tr>
      <w:tr w:rsidR="00CA246B" w:rsidRPr="00852B10" w14:paraId="0318CF61"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auto"/>
            <w:hideMark/>
          </w:tcPr>
          <w:p w14:paraId="677C38E9" w14:textId="77777777" w:rsidR="00CA246B" w:rsidRPr="005B7122" w:rsidRDefault="00CA246B" w:rsidP="00CB5C80">
            <w:pPr>
              <w:spacing w:after="0"/>
              <w:rPr>
                <w:rFonts w:ascii="Garamond" w:hAnsi="Garamond"/>
              </w:rPr>
            </w:pPr>
            <w:r w:rsidRPr="005B7122">
              <w:rPr>
                <w:rFonts w:ascii="Garamond" w:hAnsi="Garamond"/>
              </w:rPr>
              <w:t>Mécanisme de sécurisation contractuel propre au plan de retraite</w:t>
            </w:r>
          </w:p>
        </w:tc>
        <w:tc>
          <w:tcPr>
            <w:tcW w:w="489" w:type="pct"/>
            <w:tcBorders>
              <w:top w:val="single" w:sz="4" w:space="0" w:color="auto"/>
              <w:left w:val="single" w:sz="4" w:space="0" w:color="auto"/>
              <w:bottom w:val="single" w:sz="4" w:space="0" w:color="auto"/>
              <w:right w:val="single" w:sz="4" w:space="0" w:color="auto"/>
            </w:tcBorders>
            <w:shd w:val="clear" w:color="000000" w:fill="auto"/>
            <w:hideMark/>
          </w:tcPr>
          <w:p w14:paraId="23A03B0E"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R0230</w:t>
            </w:r>
          </w:p>
        </w:tc>
        <w:tc>
          <w:tcPr>
            <w:tcW w:w="3176" w:type="pct"/>
            <w:tcBorders>
              <w:top w:val="single" w:sz="4" w:space="0" w:color="auto"/>
              <w:left w:val="single" w:sz="4" w:space="0" w:color="auto"/>
              <w:bottom w:val="single" w:sz="4" w:space="0" w:color="auto"/>
              <w:right w:val="single" w:sz="4" w:space="0" w:color="auto"/>
            </w:tcBorders>
            <w:shd w:val="clear" w:color="000000" w:fill="auto"/>
          </w:tcPr>
          <w:p w14:paraId="55065DF4" w14:textId="77777777" w:rsidR="00852B10" w:rsidRPr="00040696" w:rsidRDefault="00852B10" w:rsidP="00CB5C80">
            <w:pPr>
              <w:spacing w:after="0"/>
              <w:rPr>
                <w:rFonts w:ascii="Garamond" w:hAnsi="Garamond"/>
              </w:rPr>
            </w:pPr>
            <w:r w:rsidRPr="00040696">
              <w:rPr>
                <w:rFonts w:ascii="Garamond" w:hAnsi="Garamond"/>
                <w:b/>
                <w:u w:val="single"/>
              </w:rPr>
              <w:t>Annuel</w:t>
            </w:r>
          </w:p>
          <w:p w14:paraId="0EB0EBA7" w14:textId="719E3447" w:rsidR="00A275FD" w:rsidRDefault="00C15071" w:rsidP="00CB5C80">
            <w:pPr>
              <w:spacing w:after="0"/>
              <w:rPr>
                <w:rFonts w:ascii="Garamond" w:hAnsi="Garamond"/>
              </w:rPr>
            </w:pPr>
            <w:r w:rsidRPr="00C15071">
              <w:rPr>
                <w:rFonts w:ascii="Garamond" w:hAnsi="Garamond"/>
              </w:rPr>
              <w:t xml:space="preserve">Il faut choisir l’une des options suivantes </w:t>
            </w:r>
          </w:p>
          <w:p w14:paraId="1F58B27C" w14:textId="7F2DE3B8" w:rsidR="00852B10" w:rsidRPr="00852B10" w:rsidRDefault="00852B10" w:rsidP="00CB5C80">
            <w:pPr>
              <w:spacing w:after="0"/>
              <w:rPr>
                <w:rFonts w:ascii="Garamond" w:hAnsi="Garamond"/>
              </w:rPr>
            </w:pPr>
            <w:r w:rsidRPr="00852B10">
              <w:rPr>
                <w:rFonts w:ascii="Garamond" w:hAnsi="Garamond"/>
              </w:rPr>
              <w:t xml:space="preserve">1 – Utilisation d’un </w:t>
            </w:r>
            <w:r w:rsidR="00C15071">
              <w:rPr>
                <w:rFonts w:ascii="Garamond" w:hAnsi="Garamond"/>
              </w:rPr>
              <w:t>m</w:t>
            </w:r>
            <w:r w:rsidRPr="00852B10">
              <w:rPr>
                <w:rFonts w:ascii="Garamond" w:hAnsi="Garamond"/>
              </w:rPr>
              <w:t>écanisme de sécurisation contractuel propre au plan de retraite</w:t>
            </w:r>
          </w:p>
          <w:p w14:paraId="28C405A2" w14:textId="431A4D6F" w:rsidR="00CA246B" w:rsidRPr="00852B10" w:rsidRDefault="00852B10" w:rsidP="00CB5C80">
            <w:pPr>
              <w:spacing w:after="0"/>
              <w:rPr>
                <w:rFonts w:ascii="Garamond" w:hAnsi="Garamond"/>
              </w:rPr>
            </w:pPr>
            <w:r w:rsidRPr="00852B10">
              <w:rPr>
                <w:rFonts w:ascii="Garamond" w:hAnsi="Garamond"/>
              </w:rPr>
              <w:t xml:space="preserve">2 –  Non Utilisation d’un  </w:t>
            </w:r>
            <w:r w:rsidR="00C15071">
              <w:rPr>
                <w:rFonts w:ascii="Garamond" w:hAnsi="Garamond"/>
              </w:rPr>
              <w:t>m</w:t>
            </w:r>
            <w:r w:rsidRPr="00852B10">
              <w:rPr>
                <w:rFonts w:ascii="Garamond" w:hAnsi="Garamond"/>
              </w:rPr>
              <w:t>écanisme de sécurisation contractuel propre au plan de retraite</w:t>
            </w:r>
          </w:p>
        </w:tc>
      </w:tr>
      <w:tr w:rsidR="00CA246B" w:rsidRPr="00852B10" w14:paraId="320587D5"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7BBCFB26" w14:textId="14849F68" w:rsidR="00CA246B" w:rsidRPr="005B7122" w:rsidRDefault="001B49D8" w:rsidP="001B49D8">
            <w:pPr>
              <w:spacing w:after="0"/>
              <w:rPr>
                <w:rFonts w:ascii="Garamond" w:hAnsi="Garamond"/>
              </w:rPr>
            </w:pPr>
            <w:r>
              <w:rPr>
                <w:rFonts w:ascii="Garamond" w:hAnsi="Garamond"/>
              </w:rPr>
              <w:t>Engagements restant au bilan du</w:t>
            </w:r>
            <w:r w:rsidR="00CA246B" w:rsidRPr="005B7122">
              <w:rPr>
                <w:rFonts w:ascii="Garamond" w:hAnsi="Garamond"/>
              </w:rPr>
              <w:t xml:space="preserve"> sponsor</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1BFBDA1E"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R0240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672C599C" w14:textId="735BA7B9" w:rsidR="00A275FD" w:rsidRDefault="00852B10" w:rsidP="00CB5C80">
            <w:pPr>
              <w:spacing w:after="0"/>
              <w:rPr>
                <w:rFonts w:ascii="Garamond" w:hAnsi="Garamond"/>
              </w:rPr>
            </w:pPr>
            <w:r w:rsidRPr="00C30E60">
              <w:rPr>
                <w:rFonts w:ascii="Garamond" w:hAnsi="Garamond"/>
                <w:b/>
                <w:u w:val="single"/>
              </w:rPr>
              <w:t>Annuel</w:t>
            </w:r>
          </w:p>
          <w:p w14:paraId="433DB996" w14:textId="04F1AA21" w:rsidR="00852B10" w:rsidRPr="00852B10" w:rsidRDefault="00C15071" w:rsidP="001B49D8">
            <w:pPr>
              <w:spacing w:after="0"/>
              <w:rPr>
                <w:rFonts w:ascii="Garamond" w:hAnsi="Garamond"/>
              </w:rPr>
            </w:pPr>
            <w:r>
              <w:rPr>
                <w:rFonts w:ascii="Garamond" w:hAnsi="Garamond"/>
              </w:rPr>
              <w:t xml:space="preserve">C’est </w:t>
            </w:r>
            <w:r w:rsidR="00852B10" w:rsidRPr="00852B10">
              <w:t xml:space="preserve"> </w:t>
            </w:r>
            <w:r w:rsidR="00852B10" w:rsidRPr="00852B10">
              <w:rPr>
                <w:rFonts w:ascii="Garamond" w:hAnsi="Garamond"/>
              </w:rPr>
              <w:t>l</w:t>
            </w:r>
            <w:r w:rsidR="001B49D8">
              <w:rPr>
                <w:rFonts w:ascii="Garamond" w:hAnsi="Garamond"/>
              </w:rPr>
              <w:t>a valeur des engagements de pensions restant dans le bilan du sponsor.</w:t>
            </w:r>
            <w:r w:rsidR="00852B10" w:rsidRPr="00852B10">
              <w:rPr>
                <w:rFonts w:ascii="Garamond" w:hAnsi="Garamond"/>
              </w:rPr>
              <w:t>.</w:t>
            </w:r>
          </w:p>
        </w:tc>
      </w:tr>
      <w:tr w:rsidR="00CA246B" w:rsidRPr="008171AD" w14:paraId="1411E9AA"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1938D624" w14:textId="3949538A" w:rsidR="00CA246B" w:rsidRPr="005B7122" w:rsidRDefault="00CA246B" w:rsidP="00CB5C80">
            <w:pPr>
              <w:spacing w:after="0"/>
              <w:rPr>
                <w:rFonts w:ascii="Garamond" w:hAnsi="Garamond"/>
              </w:rPr>
            </w:pPr>
            <w:r w:rsidRPr="005B7122">
              <w:rPr>
                <w:rFonts w:ascii="Garamond" w:hAnsi="Garamond"/>
              </w:rPr>
              <w:t>Droits du sponsor à récupérer des fonds</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hideMark/>
          </w:tcPr>
          <w:p w14:paraId="347BDBCD" w14:textId="77777777" w:rsidR="00CA246B" w:rsidRPr="005B7122" w:rsidRDefault="00040696" w:rsidP="00CB5C80">
            <w:pPr>
              <w:spacing w:after="0"/>
              <w:jc w:val="center"/>
              <w:rPr>
                <w:rFonts w:ascii="Garamond" w:hAnsi="Garamond"/>
              </w:rPr>
            </w:pPr>
            <w:r>
              <w:rPr>
                <w:rFonts w:ascii="Garamond" w:hAnsi="Garamond"/>
              </w:rPr>
              <w:t xml:space="preserve">C0010/ </w:t>
            </w:r>
            <w:r w:rsidR="00CA246B" w:rsidRPr="005B7122">
              <w:rPr>
                <w:rFonts w:ascii="Garamond" w:hAnsi="Garamond"/>
              </w:rPr>
              <w:t>R0250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1660B911" w14:textId="569F5A6A" w:rsidR="004D0CD0" w:rsidRDefault="008171AD" w:rsidP="00CB5C80">
            <w:pPr>
              <w:spacing w:after="0"/>
            </w:pPr>
            <w:r w:rsidRPr="00C30E60">
              <w:rPr>
                <w:rFonts w:ascii="Garamond" w:hAnsi="Garamond"/>
                <w:b/>
                <w:u w:val="single"/>
              </w:rPr>
              <w:t>Annuel</w:t>
            </w:r>
            <w:r w:rsidRPr="00852B10">
              <w:rPr>
                <w:rFonts w:ascii="Garamond" w:hAnsi="Garamond"/>
              </w:rPr>
              <w:t xml:space="preserve"> </w:t>
            </w:r>
          </w:p>
          <w:p w14:paraId="057C7E9C" w14:textId="3D9876D3" w:rsidR="00CA246B" w:rsidRPr="008171AD" w:rsidRDefault="001B49D8" w:rsidP="00CB5C80">
            <w:pPr>
              <w:spacing w:after="0"/>
              <w:rPr>
                <w:rFonts w:ascii="Garamond" w:hAnsi="Garamond"/>
              </w:rPr>
            </w:pPr>
            <w:r w:rsidRPr="007B1E31">
              <w:rPr>
                <w:rFonts w:ascii="Garamond" w:hAnsi="Garamond"/>
              </w:rPr>
              <w:t xml:space="preserve">C’est la valeurs des actifs qui pourraient être </w:t>
            </w:r>
            <w:r>
              <w:rPr>
                <w:rFonts w:ascii="Garamond" w:hAnsi="Garamond"/>
              </w:rPr>
              <w:t>réclamés par le sponsor.</w:t>
            </w:r>
          </w:p>
        </w:tc>
      </w:tr>
      <w:tr w:rsidR="00040696" w:rsidRPr="008171AD" w14:paraId="49919EBC"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16F102" w14:textId="77777777" w:rsidR="00040696" w:rsidRPr="005B7122" w:rsidRDefault="00040696" w:rsidP="00CB5C80">
            <w:pPr>
              <w:spacing w:after="0"/>
              <w:rPr>
                <w:rFonts w:ascii="Garamond" w:hAnsi="Garamond"/>
              </w:rPr>
            </w:pPr>
            <w:r>
              <w:rPr>
                <w:rFonts w:ascii="Garamond" w:hAnsi="Garamond"/>
              </w:rPr>
              <w:t xml:space="preserve">Exemption de l’ORPS par le biais de EIOPA </w:t>
            </w:r>
            <w:proofErr w:type="spellStart"/>
            <w:r>
              <w:rPr>
                <w:rFonts w:ascii="Garamond" w:hAnsi="Garamond"/>
              </w:rPr>
              <w:t>BoS</w:t>
            </w:r>
            <w:proofErr w:type="spellEnd"/>
            <w:r>
              <w:rPr>
                <w:rFonts w:ascii="Garamond" w:hAnsi="Garamond"/>
              </w:rPr>
              <w:t>/18 114</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28C399" w14:textId="77777777" w:rsidR="00040696" w:rsidRPr="005B7122" w:rsidRDefault="00040696" w:rsidP="00CB5C80">
            <w:pPr>
              <w:spacing w:after="0"/>
              <w:jc w:val="both"/>
              <w:rPr>
                <w:rFonts w:ascii="Garamond" w:hAnsi="Garamond"/>
              </w:rPr>
            </w:pPr>
            <w:r>
              <w:rPr>
                <w:rFonts w:ascii="Garamond" w:hAnsi="Garamond"/>
              </w:rPr>
              <w:t>C0010/ ER0255</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14E4B7AD" w14:textId="6ED40E22" w:rsidR="00040696" w:rsidRDefault="00040696" w:rsidP="00CB5C80">
            <w:pPr>
              <w:spacing w:after="0"/>
              <w:rPr>
                <w:rFonts w:ascii="Garamond" w:hAnsi="Garamond"/>
              </w:rPr>
            </w:pPr>
            <w:r w:rsidRPr="00C30E60">
              <w:rPr>
                <w:rFonts w:ascii="Garamond" w:hAnsi="Garamond"/>
                <w:b/>
                <w:u w:val="single"/>
              </w:rPr>
              <w:t>Annuel</w:t>
            </w:r>
            <w:r w:rsidR="004D0CD0">
              <w:rPr>
                <w:rFonts w:ascii="Garamond" w:hAnsi="Garamond"/>
                <w:b/>
                <w:u w:val="single"/>
              </w:rPr>
              <w:t xml:space="preserve"> </w:t>
            </w:r>
            <w:r w:rsidR="004D0CD0" w:rsidRPr="00CA246B">
              <w:rPr>
                <w:rFonts w:ascii="Garamond" w:hAnsi="Garamond"/>
                <w:b/>
                <w:u w:val="single"/>
              </w:rPr>
              <w:t>et Trimestriel</w:t>
            </w:r>
          </w:p>
          <w:p w14:paraId="1E02CA7B" w14:textId="77777777" w:rsidR="001B49D8" w:rsidRDefault="009168E6" w:rsidP="00CB5C80">
            <w:pPr>
              <w:spacing w:after="0"/>
              <w:rPr>
                <w:rFonts w:ascii="Garamond" w:hAnsi="Garamond"/>
              </w:rPr>
            </w:pPr>
            <w:r w:rsidRPr="00C15071">
              <w:rPr>
                <w:rFonts w:ascii="Garamond" w:hAnsi="Garamond"/>
              </w:rPr>
              <w:t>Il faut choisir l’une des options suivantes</w:t>
            </w:r>
            <w:r>
              <w:rPr>
                <w:rFonts w:ascii="Garamond" w:hAnsi="Garamond"/>
              </w:rPr>
              <w:t> :</w:t>
            </w:r>
            <w:r w:rsidRPr="00C15071">
              <w:rPr>
                <w:rFonts w:ascii="Garamond" w:hAnsi="Garamond"/>
              </w:rPr>
              <w:t xml:space="preserve"> </w:t>
            </w:r>
          </w:p>
          <w:p w14:paraId="7F9010D2" w14:textId="4B913DF5" w:rsidR="00185836" w:rsidRPr="00E66D3C" w:rsidRDefault="00185836" w:rsidP="00CB5C80">
            <w:pPr>
              <w:spacing w:after="0"/>
              <w:rPr>
                <w:rFonts w:ascii="Garamond" w:hAnsi="Garamond"/>
              </w:rPr>
            </w:pPr>
            <w:r w:rsidRPr="00E66D3C">
              <w:rPr>
                <w:rFonts w:ascii="Garamond" w:hAnsi="Garamond"/>
              </w:rPr>
              <w:t xml:space="preserve">1 </w:t>
            </w:r>
            <w:r w:rsidR="00E66D3C" w:rsidRPr="00E66D3C">
              <w:rPr>
                <w:rFonts w:ascii="Garamond" w:hAnsi="Garamond"/>
              </w:rPr>
              <w:t>–</w:t>
            </w:r>
            <w:r w:rsidRPr="00E66D3C">
              <w:rPr>
                <w:rFonts w:ascii="Garamond" w:hAnsi="Garamond"/>
              </w:rPr>
              <w:t xml:space="preserve"> </w:t>
            </w:r>
            <w:r w:rsidR="00E66D3C" w:rsidRPr="00E66D3C">
              <w:rPr>
                <w:rFonts w:ascii="Garamond" w:hAnsi="Garamond"/>
              </w:rPr>
              <w:t>Pas d’exemption</w:t>
            </w:r>
          </w:p>
          <w:p w14:paraId="54E2480A" w14:textId="35930012" w:rsidR="00185836" w:rsidRPr="00E66D3C" w:rsidRDefault="00185836" w:rsidP="00CB5C80">
            <w:pPr>
              <w:spacing w:after="0"/>
              <w:rPr>
                <w:rFonts w:ascii="Garamond" w:hAnsi="Garamond"/>
              </w:rPr>
            </w:pPr>
            <w:r w:rsidRPr="00E66D3C">
              <w:rPr>
                <w:rFonts w:ascii="Garamond" w:hAnsi="Garamond"/>
              </w:rPr>
              <w:t xml:space="preserve">2 </w:t>
            </w:r>
            <w:r w:rsidR="00E66D3C" w:rsidRPr="00E66D3C">
              <w:rPr>
                <w:rFonts w:ascii="Garamond" w:hAnsi="Garamond"/>
              </w:rPr>
              <w:t>–</w:t>
            </w:r>
            <w:r w:rsidRPr="00E66D3C">
              <w:rPr>
                <w:rFonts w:ascii="Garamond" w:hAnsi="Garamond"/>
              </w:rPr>
              <w:t xml:space="preserve"> </w:t>
            </w:r>
            <w:r w:rsidR="00E66D3C" w:rsidRPr="00E66D3C">
              <w:rPr>
                <w:rFonts w:ascii="Garamond" w:hAnsi="Garamond"/>
              </w:rPr>
              <w:t>Exemption fondée sur l’</w:t>
            </w:r>
            <w:r w:rsidRPr="00E66D3C">
              <w:rPr>
                <w:rFonts w:ascii="Garamond" w:hAnsi="Garamond"/>
              </w:rPr>
              <w:t>Article 1.14</w:t>
            </w:r>
            <w:r w:rsidR="00C85F2A">
              <w:rPr>
                <w:rStyle w:val="Appelnotedebasdep"/>
                <w:rFonts w:ascii="Garamond" w:hAnsi="Garamond"/>
                <w:lang w:val="en-US"/>
              </w:rPr>
              <w:footnoteReference w:id="1"/>
            </w:r>
            <w:r w:rsidR="001B49D8">
              <w:rPr>
                <w:rFonts w:ascii="Garamond" w:hAnsi="Garamond"/>
              </w:rPr>
              <w:t xml:space="preserve"> </w:t>
            </w:r>
            <w:r w:rsidR="001B49D8" w:rsidRPr="003507C8">
              <w:rPr>
                <w:rFonts w:ascii="Times New Roman" w:hAnsi="Times New Roman" w:cs="Times New Roman"/>
                <w:sz w:val="20"/>
                <w:szCs w:val="20"/>
              </w:rPr>
              <w:t xml:space="preserve"> de la  </w:t>
            </w:r>
            <w:hyperlink r:id="rId11" w:history="1">
              <w:r w:rsidR="001B49D8" w:rsidRPr="003507C8">
                <w:rPr>
                  <w:rStyle w:val="Lienhypertexte"/>
                  <w:rFonts w:ascii="Times New Roman" w:hAnsi="Times New Roman" w:cs="Times New Roman"/>
                  <w:sz w:val="20"/>
                  <w:szCs w:val="20"/>
                </w:rPr>
                <w:t>décision EIOPA-</w:t>
              </w:r>
              <w:proofErr w:type="spellStart"/>
              <w:r w:rsidR="001B49D8" w:rsidRPr="003507C8">
                <w:rPr>
                  <w:rStyle w:val="Lienhypertexte"/>
                  <w:rFonts w:ascii="Times New Roman" w:hAnsi="Times New Roman" w:cs="Times New Roman"/>
                  <w:sz w:val="20"/>
                  <w:szCs w:val="20"/>
                </w:rPr>
                <w:t>BoS</w:t>
              </w:r>
              <w:proofErr w:type="spellEnd"/>
              <w:r w:rsidR="001B49D8" w:rsidRPr="003507C8">
                <w:rPr>
                  <w:rStyle w:val="Lienhypertexte"/>
                  <w:rFonts w:ascii="Times New Roman" w:hAnsi="Times New Roman" w:cs="Times New Roman"/>
                  <w:sz w:val="20"/>
                  <w:szCs w:val="20"/>
                </w:rPr>
                <w:t>/18-114</w:t>
              </w:r>
            </w:hyperlink>
          </w:p>
          <w:p w14:paraId="07F29C4D" w14:textId="48BBAE18" w:rsidR="00185836" w:rsidRPr="00185836" w:rsidRDefault="00185836" w:rsidP="00CB5C80">
            <w:pPr>
              <w:spacing w:after="0"/>
              <w:rPr>
                <w:rFonts w:ascii="Garamond" w:hAnsi="Garamond"/>
              </w:rPr>
            </w:pPr>
            <w:r w:rsidRPr="00185836">
              <w:rPr>
                <w:rFonts w:ascii="Garamond" w:hAnsi="Garamond"/>
              </w:rPr>
              <w:t xml:space="preserve">3 - </w:t>
            </w:r>
            <w:r w:rsidR="00E66D3C">
              <w:t xml:space="preserve"> </w:t>
            </w:r>
            <w:r w:rsidR="00E66D3C" w:rsidRPr="00E66D3C">
              <w:rPr>
                <w:rFonts w:ascii="Garamond" w:hAnsi="Garamond"/>
              </w:rPr>
              <w:t xml:space="preserve">Exemption fondée sur l’Article </w:t>
            </w:r>
            <w:r w:rsidRPr="00185836">
              <w:rPr>
                <w:rFonts w:ascii="Garamond" w:hAnsi="Garamond"/>
              </w:rPr>
              <w:t xml:space="preserve"> 1.15</w:t>
            </w:r>
            <w:r w:rsidR="00C85F2A">
              <w:rPr>
                <w:rStyle w:val="Appelnotedebasdep"/>
                <w:rFonts w:ascii="Garamond" w:hAnsi="Garamond"/>
              </w:rPr>
              <w:footnoteReference w:id="2"/>
            </w:r>
            <w:r w:rsidR="001B49D8">
              <w:rPr>
                <w:rFonts w:ascii="Garamond" w:hAnsi="Garamond"/>
              </w:rPr>
              <w:t xml:space="preserve"> </w:t>
            </w:r>
            <w:r w:rsidR="001B49D8" w:rsidRPr="003507C8">
              <w:rPr>
                <w:rFonts w:ascii="Times New Roman" w:hAnsi="Times New Roman" w:cs="Times New Roman"/>
                <w:sz w:val="20"/>
                <w:szCs w:val="20"/>
              </w:rPr>
              <w:t xml:space="preserve"> de la  </w:t>
            </w:r>
            <w:hyperlink r:id="rId12" w:history="1">
              <w:r w:rsidR="001B49D8" w:rsidRPr="003507C8">
                <w:rPr>
                  <w:rStyle w:val="Lienhypertexte"/>
                  <w:rFonts w:ascii="Times New Roman" w:hAnsi="Times New Roman" w:cs="Times New Roman"/>
                  <w:sz w:val="20"/>
                  <w:szCs w:val="20"/>
                </w:rPr>
                <w:t>décision EIOPA-</w:t>
              </w:r>
              <w:proofErr w:type="spellStart"/>
              <w:r w:rsidR="001B49D8" w:rsidRPr="003507C8">
                <w:rPr>
                  <w:rStyle w:val="Lienhypertexte"/>
                  <w:rFonts w:ascii="Times New Roman" w:hAnsi="Times New Roman" w:cs="Times New Roman"/>
                  <w:sz w:val="20"/>
                  <w:szCs w:val="20"/>
                </w:rPr>
                <w:t>BoS</w:t>
              </w:r>
              <w:proofErr w:type="spellEnd"/>
              <w:r w:rsidR="001B49D8" w:rsidRPr="003507C8">
                <w:rPr>
                  <w:rStyle w:val="Lienhypertexte"/>
                  <w:rFonts w:ascii="Times New Roman" w:hAnsi="Times New Roman" w:cs="Times New Roman"/>
                  <w:sz w:val="20"/>
                  <w:szCs w:val="20"/>
                </w:rPr>
                <w:t>/18-114</w:t>
              </w:r>
            </w:hyperlink>
          </w:p>
          <w:p w14:paraId="0162E256" w14:textId="4CF60CE9" w:rsidR="00040696" w:rsidRPr="00852B10" w:rsidRDefault="00185836" w:rsidP="00CB5C80">
            <w:pPr>
              <w:spacing w:after="0"/>
              <w:rPr>
                <w:rFonts w:ascii="Garamond" w:hAnsi="Garamond"/>
              </w:rPr>
            </w:pPr>
            <w:r w:rsidRPr="00185836">
              <w:rPr>
                <w:rFonts w:ascii="Garamond" w:hAnsi="Garamond"/>
              </w:rPr>
              <w:t xml:space="preserve">4 - </w:t>
            </w:r>
            <w:r w:rsidR="00E66D3C">
              <w:t xml:space="preserve"> </w:t>
            </w:r>
            <w:r w:rsidR="00E66D3C" w:rsidRPr="00E66D3C">
              <w:rPr>
                <w:rFonts w:ascii="Garamond" w:hAnsi="Garamond"/>
              </w:rPr>
              <w:t xml:space="preserve">Exemption fondée sur l’Article </w:t>
            </w:r>
            <w:r w:rsidRPr="00185836">
              <w:rPr>
                <w:rFonts w:ascii="Garamond" w:hAnsi="Garamond"/>
              </w:rPr>
              <w:t>1.7</w:t>
            </w:r>
            <w:r w:rsidR="00C85F2A">
              <w:rPr>
                <w:rStyle w:val="Appelnotedebasdep"/>
                <w:rFonts w:ascii="Garamond" w:hAnsi="Garamond"/>
              </w:rPr>
              <w:footnoteReference w:id="3"/>
            </w:r>
            <w:r w:rsidR="00B26303">
              <w:rPr>
                <w:rFonts w:ascii="Garamond" w:hAnsi="Garamond"/>
              </w:rPr>
              <w:t xml:space="preserve"> </w:t>
            </w:r>
            <w:r w:rsidR="001B49D8" w:rsidRPr="003507C8">
              <w:rPr>
                <w:rFonts w:ascii="Times New Roman" w:hAnsi="Times New Roman" w:cs="Times New Roman"/>
                <w:sz w:val="20"/>
                <w:szCs w:val="20"/>
              </w:rPr>
              <w:t xml:space="preserve"> de la  </w:t>
            </w:r>
            <w:hyperlink r:id="rId13" w:history="1">
              <w:r w:rsidR="001B49D8" w:rsidRPr="003507C8">
                <w:rPr>
                  <w:rStyle w:val="Lienhypertexte"/>
                  <w:rFonts w:ascii="Times New Roman" w:hAnsi="Times New Roman" w:cs="Times New Roman"/>
                  <w:sz w:val="20"/>
                  <w:szCs w:val="20"/>
                </w:rPr>
                <w:t>décision EIOPA-</w:t>
              </w:r>
              <w:proofErr w:type="spellStart"/>
              <w:r w:rsidR="001B49D8" w:rsidRPr="003507C8">
                <w:rPr>
                  <w:rStyle w:val="Lienhypertexte"/>
                  <w:rFonts w:ascii="Times New Roman" w:hAnsi="Times New Roman" w:cs="Times New Roman"/>
                  <w:sz w:val="20"/>
                  <w:szCs w:val="20"/>
                </w:rPr>
                <w:t>BoS</w:t>
              </w:r>
              <w:proofErr w:type="spellEnd"/>
              <w:r w:rsidR="001B49D8" w:rsidRPr="003507C8">
                <w:rPr>
                  <w:rStyle w:val="Lienhypertexte"/>
                  <w:rFonts w:ascii="Times New Roman" w:hAnsi="Times New Roman" w:cs="Times New Roman"/>
                  <w:sz w:val="20"/>
                  <w:szCs w:val="20"/>
                </w:rPr>
                <w:t>/18-114</w:t>
              </w:r>
            </w:hyperlink>
            <w:r w:rsidR="001B49D8">
              <w:rPr>
                <w:rFonts w:ascii="Times New Roman" w:hAnsi="Times New Roman" w:cs="Times New Roman"/>
                <w:sz w:val="20"/>
                <w:szCs w:val="20"/>
              </w:rPr>
              <w:t xml:space="preserve"> </w:t>
            </w:r>
            <w:r w:rsidR="00B26303">
              <w:rPr>
                <w:rFonts w:ascii="Garamond" w:hAnsi="Garamond"/>
              </w:rPr>
              <w:t>jusqu’au 31/12/2019</w:t>
            </w:r>
          </w:p>
        </w:tc>
      </w:tr>
      <w:tr w:rsidR="00040696" w:rsidRPr="008171AD" w14:paraId="20DA161C"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83738D" w14:textId="178969E9" w:rsidR="00040696" w:rsidRPr="005B7122" w:rsidRDefault="00040696" w:rsidP="00CB5C80">
            <w:pPr>
              <w:spacing w:after="0"/>
              <w:rPr>
                <w:rFonts w:ascii="Garamond" w:hAnsi="Garamond"/>
              </w:rPr>
            </w:pPr>
            <w:r>
              <w:rPr>
                <w:rFonts w:ascii="Garamond" w:hAnsi="Garamond"/>
              </w:rPr>
              <w:t>Exemption BCE par le biais d</w:t>
            </w:r>
            <w:r w:rsidR="001B49D8">
              <w:rPr>
                <w:rFonts w:ascii="Garamond" w:hAnsi="Garamond"/>
              </w:rPr>
              <w:t xml:space="preserve">u règlement BCE </w:t>
            </w:r>
            <w:r>
              <w:rPr>
                <w:rFonts w:ascii="Garamond" w:hAnsi="Garamond"/>
              </w:rPr>
              <w:t xml:space="preserve"> ECB/2018/2</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F4EB0C" w14:textId="77777777" w:rsidR="00040696" w:rsidRPr="005B7122" w:rsidRDefault="00040696" w:rsidP="00CB5C80">
            <w:pPr>
              <w:spacing w:after="0"/>
              <w:jc w:val="both"/>
              <w:rPr>
                <w:rFonts w:ascii="Garamond" w:hAnsi="Garamond"/>
              </w:rPr>
            </w:pPr>
            <w:r>
              <w:rPr>
                <w:rFonts w:ascii="Garamond" w:hAnsi="Garamond"/>
              </w:rPr>
              <w:t>C0010/ ER0256</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49EA0AE5" w14:textId="73C98620" w:rsidR="00040696" w:rsidRDefault="00040696" w:rsidP="00CB5C80">
            <w:pPr>
              <w:spacing w:after="0"/>
              <w:rPr>
                <w:rFonts w:ascii="Garamond" w:hAnsi="Garamond"/>
              </w:rPr>
            </w:pPr>
            <w:r w:rsidRPr="00C30E60">
              <w:rPr>
                <w:rFonts w:ascii="Garamond" w:hAnsi="Garamond"/>
                <w:b/>
                <w:u w:val="single"/>
              </w:rPr>
              <w:t>Annuel</w:t>
            </w:r>
            <w:r w:rsidR="004D0CD0" w:rsidRPr="00CA246B">
              <w:rPr>
                <w:rFonts w:ascii="Garamond" w:hAnsi="Garamond"/>
                <w:b/>
                <w:u w:val="single"/>
              </w:rPr>
              <w:t xml:space="preserve"> et Trimestriel</w:t>
            </w:r>
          </w:p>
          <w:p w14:paraId="32B0BD5F" w14:textId="49FDDBFA" w:rsidR="00F03A2B" w:rsidRPr="00F03A2B" w:rsidRDefault="00E4600D" w:rsidP="00CB5C80">
            <w:pPr>
              <w:spacing w:after="0"/>
              <w:rPr>
                <w:rFonts w:ascii="Garamond" w:hAnsi="Garamond"/>
              </w:rPr>
            </w:pPr>
            <w:r>
              <w:rPr>
                <w:rFonts w:ascii="Garamond" w:hAnsi="Garamond"/>
              </w:rPr>
              <w:t xml:space="preserve">Il s’agit d’exemption accordé par les Banques Centrales Nationales sur la base du règlement BCE ECB/2018/2. </w:t>
            </w:r>
            <w:r w:rsidR="009168E6" w:rsidRPr="00C15071">
              <w:rPr>
                <w:rFonts w:ascii="Garamond" w:hAnsi="Garamond"/>
              </w:rPr>
              <w:t>Il faut choisir l’une des options suivantes</w:t>
            </w:r>
            <w:r w:rsidR="009168E6">
              <w:rPr>
                <w:rFonts w:ascii="Garamond" w:hAnsi="Garamond"/>
              </w:rPr>
              <w:t> :</w:t>
            </w:r>
          </w:p>
          <w:p w14:paraId="415DB89C" w14:textId="77777777" w:rsidR="00F03A2B" w:rsidRPr="00F03A2B" w:rsidRDefault="00F03A2B" w:rsidP="00CB5C80">
            <w:pPr>
              <w:spacing w:after="0"/>
              <w:rPr>
                <w:rFonts w:ascii="Garamond" w:hAnsi="Garamond"/>
              </w:rPr>
            </w:pPr>
            <w:r w:rsidRPr="00F03A2B">
              <w:rPr>
                <w:rFonts w:ascii="Garamond" w:hAnsi="Garamond"/>
              </w:rPr>
              <w:t>1 – Pas d’exemption</w:t>
            </w:r>
          </w:p>
          <w:p w14:paraId="437FFD02" w14:textId="2F0687EB" w:rsidR="000C4272" w:rsidRPr="00F03A2B" w:rsidRDefault="003C209F" w:rsidP="00CB5C80">
            <w:pPr>
              <w:spacing w:after="0"/>
              <w:rPr>
                <w:rFonts w:ascii="Garamond" w:hAnsi="Garamond"/>
              </w:rPr>
            </w:pPr>
            <w:r>
              <w:rPr>
                <w:rFonts w:ascii="Garamond" w:hAnsi="Garamond"/>
              </w:rPr>
              <w:t>5</w:t>
            </w:r>
            <w:r w:rsidR="00F03A2B" w:rsidRPr="00F03A2B">
              <w:rPr>
                <w:rFonts w:ascii="Garamond" w:hAnsi="Garamond"/>
              </w:rPr>
              <w:t xml:space="preserve"> – Exemption fondée sur l’Article </w:t>
            </w:r>
            <w:r w:rsidR="000C4272" w:rsidRPr="00F03A2B">
              <w:rPr>
                <w:rFonts w:ascii="Garamond" w:hAnsi="Garamond"/>
              </w:rPr>
              <w:t>7(1)(</w:t>
            </w:r>
            <w:r w:rsidR="00A229C4">
              <w:rPr>
                <w:rFonts w:ascii="Garamond" w:hAnsi="Garamond"/>
              </w:rPr>
              <w:t>c</w:t>
            </w:r>
            <w:r w:rsidR="000C4272" w:rsidRPr="00F03A2B">
              <w:rPr>
                <w:rFonts w:ascii="Garamond" w:hAnsi="Garamond"/>
              </w:rPr>
              <w:t>)</w:t>
            </w:r>
            <w:r w:rsidR="00A229C4">
              <w:rPr>
                <w:rFonts w:ascii="Garamond" w:hAnsi="Garamond"/>
              </w:rPr>
              <w:t xml:space="preserve"> du </w:t>
            </w:r>
            <w:hyperlink r:id="rId14" w:history="1">
              <w:r w:rsidR="00A229C4" w:rsidRPr="00A229C4">
                <w:rPr>
                  <w:rStyle w:val="Lienhypertexte"/>
                  <w:rFonts w:ascii="Garamond" w:hAnsi="Garamond"/>
                </w:rPr>
                <w:t>règlement 2018/231</w:t>
              </w:r>
            </w:hyperlink>
          </w:p>
          <w:p w14:paraId="201A0261" w14:textId="289907D5" w:rsidR="00040696" w:rsidRPr="008171AD" w:rsidRDefault="000C4272" w:rsidP="00CB5C80">
            <w:pPr>
              <w:spacing w:after="0"/>
              <w:rPr>
                <w:rFonts w:ascii="Garamond" w:hAnsi="Garamond"/>
              </w:rPr>
            </w:pPr>
            <w:r w:rsidRPr="000C4272">
              <w:rPr>
                <w:rFonts w:ascii="Garamond" w:hAnsi="Garamond"/>
              </w:rPr>
              <w:t xml:space="preserve">6 – </w:t>
            </w:r>
            <w:r w:rsidR="00F03A2B">
              <w:t xml:space="preserve"> </w:t>
            </w:r>
            <w:r w:rsidR="00F03A2B" w:rsidRPr="00F03A2B">
              <w:rPr>
                <w:rFonts w:ascii="Garamond" w:hAnsi="Garamond"/>
              </w:rPr>
              <w:t xml:space="preserve">Exemption fondée sur l’Article </w:t>
            </w:r>
            <w:r w:rsidRPr="000C4272">
              <w:rPr>
                <w:rFonts w:ascii="Garamond" w:hAnsi="Garamond"/>
              </w:rPr>
              <w:t>7(1)(</w:t>
            </w:r>
            <w:r w:rsidR="00A229C4">
              <w:rPr>
                <w:rFonts w:ascii="Garamond" w:hAnsi="Garamond"/>
              </w:rPr>
              <w:t>d</w:t>
            </w:r>
            <w:r w:rsidRPr="000C4272">
              <w:rPr>
                <w:rFonts w:ascii="Garamond" w:hAnsi="Garamond"/>
              </w:rPr>
              <w:t>)</w:t>
            </w:r>
            <w:r w:rsidR="00A229C4">
              <w:rPr>
                <w:rFonts w:ascii="Garamond" w:hAnsi="Garamond"/>
              </w:rPr>
              <w:t xml:space="preserve"> du </w:t>
            </w:r>
            <w:hyperlink r:id="rId15" w:history="1">
              <w:r w:rsidR="00A229C4" w:rsidRPr="00A229C4">
                <w:rPr>
                  <w:rStyle w:val="Lienhypertexte"/>
                  <w:rFonts w:ascii="Garamond" w:hAnsi="Garamond"/>
                </w:rPr>
                <w:t>règlement 2018/231</w:t>
              </w:r>
            </w:hyperlink>
          </w:p>
        </w:tc>
      </w:tr>
      <w:tr w:rsidR="007C0354" w:rsidRPr="008171AD" w14:paraId="5136F2DD" w14:textId="77777777" w:rsidTr="007C0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58083A1" w14:textId="04AACBC6" w:rsidR="007C0354" w:rsidRDefault="007C0354" w:rsidP="00CB5C80">
            <w:pPr>
              <w:spacing w:after="0"/>
              <w:rPr>
                <w:rFonts w:ascii="Garamond" w:hAnsi="Garamond"/>
              </w:rPr>
            </w:pPr>
            <w:proofErr w:type="spellStart"/>
            <w:r w:rsidRPr="007C0354">
              <w:rPr>
                <w:rFonts w:ascii="Garamond" w:hAnsi="Garamond"/>
              </w:rPr>
              <w:t>Reporting</w:t>
            </w:r>
            <w:proofErr w:type="spellEnd"/>
            <w:r w:rsidRPr="007C0354">
              <w:rPr>
                <w:rFonts w:ascii="Garamond" w:hAnsi="Garamond"/>
              </w:rPr>
              <w:t xml:space="preserve"> PEPP</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46802B" w14:textId="16E41015" w:rsidR="007C0354" w:rsidRDefault="007C0354" w:rsidP="00CB5C80">
            <w:pPr>
              <w:spacing w:after="0"/>
              <w:jc w:val="both"/>
              <w:rPr>
                <w:rFonts w:ascii="Garamond" w:hAnsi="Garamond"/>
              </w:rPr>
            </w:pPr>
            <w:r>
              <w:rPr>
                <w:rFonts w:ascii="Garamond" w:hAnsi="Garamond"/>
              </w:rPr>
              <w:t>R0600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29F53EF7" w14:textId="4AFF9795" w:rsidR="007C0354" w:rsidRDefault="007C0354" w:rsidP="007C0354">
            <w:pPr>
              <w:spacing w:after="0"/>
              <w:rPr>
                <w:rFonts w:ascii="Garamond" w:hAnsi="Garamond"/>
              </w:rPr>
            </w:pPr>
            <w:r w:rsidRPr="00C30E60">
              <w:rPr>
                <w:rFonts w:ascii="Garamond" w:hAnsi="Garamond"/>
                <w:b/>
                <w:u w:val="single"/>
              </w:rPr>
              <w:t>Annuel</w:t>
            </w:r>
          </w:p>
          <w:p w14:paraId="76CFF12C" w14:textId="251B78C7" w:rsidR="007C0354" w:rsidRPr="007B1E31" w:rsidRDefault="007C0354" w:rsidP="007C0354">
            <w:pPr>
              <w:spacing w:after="0"/>
              <w:rPr>
                <w:rFonts w:ascii="Garamond" w:hAnsi="Garamond"/>
              </w:rPr>
            </w:pPr>
            <w:r w:rsidRPr="007B1E31">
              <w:rPr>
                <w:rFonts w:ascii="Garamond" w:hAnsi="Garamond"/>
              </w:rPr>
              <w:t>Choisir impérativement l’une des options suivantes:</w:t>
            </w:r>
          </w:p>
          <w:p w14:paraId="22642617" w14:textId="77777777" w:rsidR="007C0354" w:rsidRPr="007B1E31" w:rsidRDefault="007C0354" w:rsidP="007C0354">
            <w:pPr>
              <w:spacing w:after="0"/>
              <w:rPr>
                <w:rFonts w:ascii="Garamond" w:hAnsi="Garamond"/>
              </w:rPr>
            </w:pPr>
            <w:r w:rsidRPr="007B1E31">
              <w:rPr>
                <w:rFonts w:ascii="Garamond" w:hAnsi="Garamond"/>
              </w:rPr>
              <w:t>1 - Informations déclarées</w:t>
            </w:r>
          </w:p>
          <w:p w14:paraId="7715F2A1" w14:textId="77777777" w:rsidR="007C0354" w:rsidRPr="007B1E31" w:rsidRDefault="007C0354" w:rsidP="007C0354">
            <w:pPr>
              <w:spacing w:after="0"/>
              <w:rPr>
                <w:rFonts w:ascii="Garamond" w:hAnsi="Garamond"/>
              </w:rPr>
            </w:pPr>
            <w:r w:rsidRPr="007B1E31">
              <w:rPr>
                <w:rFonts w:ascii="Garamond" w:hAnsi="Garamond"/>
              </w:rPr>
              <w:t>2 - Non déclarées car transmises via une remise dédiée</w:t>
            </w:r>
          </w:p>
          <w:p w14:paraId="01AFD2CF" w14:textId="200A061F" w:rsidR="007C0354" w:rsidRPr="00C30E60" w:rsidRDefault="007C0354" w:rsidP="007C0354">
            <w:pPr>
              <w:spacing w:after="0"/>
              <w:rPr>
                <w:rFonts w:ascii="Garamond" w:hAnsi="Garamond"/>
                <w:b/>
                <w:u w:val="single"/>
              </w:rPr>
            </w:pPr>
            <w:r w:rsidRPr="007B1E31">
              <w:rPr>
                <w:rFonts w:ascii="Garamond" w:hAnsi="Garamond"/>
              </w:rPr>
              <w:t>0 - Non déclarées car pas de PEPP</w:t>
            </w:r>
          </w:p>
        </w:tc>
      </w:tr>
      <w:tr w:rsidR="007C0354" w:rsidRPr="008171AD" w14:paraId="71AE7CD2" w14:textId="77777777" w:rsidTr="007B1E31">
        <w:tblPrEx>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tcPr>
          <w:p w14:paraId="1CFAD7B2" w14:textId="1B8C5718" w:rsidR="007C0354" w:rsidRPr="007C0354" w:rsidRDefault="007C0354" w:rsidP="007C0354">
            <w:pPr>
              <w:spacing w:after="0"/>
              <w:rPr>
                <w:rFonts w:ascii="Garamond" w:hAnsi="Garamond"/>
              </w:rPr>
            </w:pPr>
            <w:r w:rsidRPr="00D85B6E">
              <w:rPr>
                <w:rFonts w:ascii="Times New Roman" w:hAnsi="Times New Roman" w:cs="Times New Roman"/>
                <w:sz w:val="20"/>
                <w:szCs w:val="20"/>
              </w:rPr>
              <w:t>Numéro d’enregistrement du PEPP</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tcPr>
          <w:p w14:paraId="5E3192A1" w14:textId="51285E7D" w:rsidR="007C0354" w:rsidRDefault="007C0354" w:rsidP="007C0354">
            <w:pPr>
              <w:spacing w:after="0"/>
              <w:jc w:val="both"/>
              <w:rPr>
                <w:rFonts w:ascii="Garamond" w:hAnsi="Garamond"/>
              </w:rPr>
            </w:pPr>
            <w:r>
              <w:rPr>
                <w:rFonts w:ascii="Times New Roman" w:hAnsi="Times New Roman" w:cs="Times New Roman"/>
                <w:sz w:val="20"/>
                <w:szCs w:val="20"/>
              </w:rPr>
              <w:t>C016</w:t>
            </w:r>
            <w:r w:rsidRPr="00D85B6E">
              <w:rPr>
                <w:rFonts w:ascii="Times New Roman" w:hAnsi="Times New Roman" w:cs="Times New Roman"/>
                <w:sz w:val="20"/>
                <w:szCs w:val="20"/>
              </w:rPr>
              <w:t>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40EA1FA0" w14:textId="77777777" w:rsidR="00E1455D" w:rsidRDefault="00E1455D" w:rsidP="00E1455D">
            <w:pPr>
              <w:spacing w:after="0"/>
              <w:rPr>
                <w:rFonts w:ascii="Garamond" w:hAnsi="Garamond"/>
              </w:rPr>
            </w:pPr>
            <w:r w:rsidRPr="00C30E60">
              <w:rPr>
                <w:rFonts w:ascii="Garamond" w:hAnsi="Garamond"/>
                <w:b/>
                <w:u w:val="single"/>
              </w:rPr>
              <w:t>Annuel</w:t>
            </w:r>
          </w:p>
          <w:p w14:paraId="2ED30D35" w14:textId="22413647" w:rsidR="007C0354" w:rsidRPr="00C30E60" w:rsidRDefault="007C0354" w:rsidP="007C0354">
            <w:pPr>
              <w:spacing w:after="0"/>
              <w:rPr>
                <w:rFonts w:ascii="Garamond" w:hAnsi="Garamond"/>
                <w:b/>
                <w:u w:val="single"/>
              </w:rPr>
            </w:pPr>
            <w:r w:rsidRPr="00D85B6E">
              <w:rPr>
                <w:sz w:val="20"/>
                <w:szCs w:val="20"/>
              </w:rPr>
              <w:t>Numéro d’enregistrement du PEPP attribué par l’AEAPP.</w:t>
            </w:r>
          </w:p>
        </w:tc>
      </w:tr>
      <w:tr w:rsidR="007C0354" w:rsidRPr="008171AD" w14:paraId="65DF0034" w14:textId="77777777" w:rsidTr="007B1E31">
        <w:tblPrEx>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tcPr>
          <w:p w14:paraId="6096E59D" w14:textId="71F5EC10" w:rsidR="007C0354" w:rsidRPr="007C0354" w:rsidRDefault="007C0354" w:rsidP="007C0354">
            <w:pPr>
              <w:spacing w:after="0"/>
              <w:rPr>
                <w:rFonts w:ascii="Garamond" w:hAnsi="Garamond"/>
              </w:rPr>
            </w:pPr>
            <w:r w:rsidRPr="00D85B6E">
              <w:rPr>
                <w:rFonts w:ascii="Times New Roman" w:hAnsi="Times New Roman" w:cs="Times New Roman"/>
                <w:sz w:val="20"/>
                <w:szCs w:val="20"/>
              </w:rPr>
              <w:t>Dénomination du PEPP</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tcPr>
          <w:p w14:paraId="17F3970C" w14:textId="1C9CA9E5" w:rsidR="007C0354" w:rsidRDefault="007C0354" w:rsidP="007C0354">
            <w:pPr>
              <w:spacing w:after="0"/>
              <w:jc w:val="both"/>
              <w:rPr>
                <w:rFonts w:ascii="Garamond" w:hAnsi="Garamond"/>
              </w:rPr>
            </w:pPr>
            <w:r>
              <w:rPr>
                <w:rFonts w:ascii="Times New Roman" w:hAnsi="Times New Roman" w:cs="Times New Roman"/>
                <w:sz w:val="20"/>
                <w:szCs w:val="20"/>
              </w:rPr>
              <w:t>C017</w:t>
            </w:r>
            <w:r w:rsidRPr="00D85B6E">
              <w:rPr>
                <w:rFonts w:ascii="Times New Roman" w:hAnsi="Times New Roman" w:cs="Times New Roman"/>
                <w:sz w:val="20"/>
                <w:szCs w:val="20"/>
              </w:rPr>
              <w:t>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233D3A3A" w14:textId="77777777" w:rsidR="00E1455D" w:rsidRDefault="00E1455D" w:rsidP="00E1455D">
            <w:pPr>
              <w:spacing w:after="0"/>
              <w:rPr>
                <w:rFonts w:ascii="Garamond" w:hAnsi="Garamond"/>
              </w:rPr>
            </w:pPr>
            <w:r w:rsidRPr="00C30E60">
              <w:rPr>
                <w:rFonts w:ascii="Garamond" w:hAnsi="Garamond"/>
                <w:b/>
                <w:u w:val="single"/>
              </w:rPr>
              <w:t>Annuel</w:t>
            </w:r>
          </w:p>
          <w:p w14:paraId="76F6671F" w14:textId="3ACC0CB9" w:rsidR="007C0354" w:rsidRPr="00C30E60" w:rsidRDefault="007C0354" w:rsidP="007C0354">
            <w:pPr>
              <w:spacing w:after="0"/>
              <w:rPr>
                <w:rFonts w:ascii="Garamond" w:hAnsi="Garamond"/>
                <w:b/>
                <w:u w:val="single"/>
              </w:rPr>
            </w:pPr>
            <w:r w:rsidRPr="00D85B6E">
              <w:rPr>
                <w:sz w:val="20"/>
                <w:szCs w:val="20"/>
              </w:rPr>
              <w:t>Nom commercial du PEPP (propre à l’entreprise).</w:t>
            </w:r>
          </w:p>
        </w:tc>
      </w:tr>
      <w:tr w:rsidR="007C0354" w:rsidRPr="008171AD" w14:paraId="7F1CF299" w14:textId="77777777" w:rsidTr="007B1E31">
        <w:tblPrEx>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tcPr>
          <w:p w14:paraId="08A55C5E" w14:textId="026E126F" w:rsidR="007C0354" w:rsidRPr="007C0354" w:rsidRDefault="007C0354" w:rsidP="007C0354">
            <w:pPr>
              <w:spacing w:after="0"/>
              <w:rPr>
                <w:rFonts w:ascii="Garamond" w:hAnsi="Garamond"/>
              </w:rPr>
            </w:pPr>
            <w:r w:rsidRPr="00D85B6E">
              <w:rPr>
                <w:rFonts w:ascii="Times New Roman" w:hAnsi="Times New Roman" w:cs="Times New Roman"/>
                <w:sz w:val="20"/>
                <w:szCs w:val="20"/>
              </w:rPr>
              <w:t>PEPP toujours commercialise?</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tcPr>
          <w:p w14:paraId="4AD5272A" w14:textId="03639346" w:rsidR="007C0354" w:rsidRDefault="007C0354" w:rsidP="007C0354">
            <w:pPr>
              <w:spacing w:after="0"/>
              <w:jc w:val="both"/>
              <w:rPr>
                <w:rFonts w:ascii="Garamond" w:hAnsi="Garamond"/>
              </w:rPr>
            </w:pPr>
            <w:r>
              <w:rPr>
                <w:rFonts w:ascii="Times New Roman" w:hAnsi="Times New Roman" w:cs="Times New Roman"/>
                <w:sz w:val="20"/>
                <w:szCs w:val="20"/>
              </w:rPr>
              <w:t>C018</w:t>
            </w:r>
            <w:r w:rsidRPr="00D85B6E">
              <w:rPr>
                <w:rFonts w:ascii="Times New Roman" w:hAnsi="Times New Roman" w:cs="Times New Roman"/>
                <w:sz w:val="20"/>
                <w:szCs w:val="20"/>
              </w:rPr>
              <w:t>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05D735E1" w14:textId="77777777" w:rsidR="00E1455D" w:rsidRDefault="00E1455D" w:rsidP="00E1455D">
            <w:pPr>
              <w:spacing w:after="0"/>
              <w:rPr>
                <w:rFonts w:ascii="Garamond" w:hAnsi="Garamond"/>
              </w:rPr>
            </w:pPr>
            <w:r w:rsidRPr="00C30E60">
              <w:rPr>
                <w:rFonts w:ascii="Garamond" w:hAnsi="Garamond"/>
                <w:b/>
                <w:u w:val="single"/>
              </w:rPr>
              <w:t>Annuel</w:t>
            </w:r>
          </w:p>
          <w:p w14:paraId="4110E142" w14:textId="77777777" w:rsidR="007C0354" w:rsidRPr="003507C8" w:rsidRDefault="007C0354" w:rsidP="007C0354">
            <w:pPr>
              <w:pStyle w:val="Default"/>
              <w:rPr>
                <w:sz w:val="20"/>
                <w:szCs w:val="20"/>
              </w:rPr>
            </w:pPr>
            <w:r w:rsidRPr="00D85B6E">
              <w:rPr>
                <w:sz w:val="20"/>
                <w:szCs w:val="20"/>
              </w:rPr>
              <w:t>Indiquer si le produit est encore proposé à la vente ou s’il est en voie de liquidation.</w:t>
            </w:r>
          </w:p>
          <w:p w14:paraId="3F9E88D4" w14:textId="77777777" w:rsidR="007C0354" w:rsidRPr="003507C8" w:rsidRDefault="007C0354" w:rsidP="007C0354">
            <w:pPr>
              <w:pStyle w:val="Default"/>
              <w:rPr>
                <w:sz w:val="20"/>
                <w:szCs w:val="20"/>
              </w:rPr>
            </w:pPr>
          </w:p>
          <w:p w14:paraId="3FF3FD6A" w14:textId="77777777" w:rsidR="007C0354" w:rsidRPr="003507C8" w:rsidRDefault="007C0354" w:rsidP="007C0354">
            <w:pPr>
              <w:pStyle w:val="Default"/>
              <w:rPr>
                <w:sz w:val="20"/>
                <w:szCs w:val="20"/>
              </w:rPr>
            </w:pPr>
            <w:r w:rsidRPr="00D85B6E">
              <w:rPr>
                <w:sz w:val="20"/>
                <w:szCs w:val="20"/>
              </w:rPr>
              <w:t>Choisir impérativement l’une des options suivantes:</w:t>
            </w:r>
          </w:p>
          <w:p w14:paraId="0E4DA187" w14:textId="77777777" w:rsidR="007C0354" w:rsidRPr="003507C8" w:rsidRDefault="007C0354" w:rsidP="007C0354">
            <w:pPr>
              <w:pStyle w:val="Default"/>
              <w:rPr>
                <w:sz w:val="20"/>
                <w:szCs w:val="20"/>
              </w:rPr>
            </w:pPr>
            <w:r w:rsidRPr="00D85B6E">
              <w:rPr>
                <w:sz w:val="20"/>
                <w:szCs w:val="20"/>
              </w:rPr>
              <w:t>1 - Encore commercialisé</w:t>
            </w:r>
          </w:p>
          <w:p w14:paraId="6E4C45C1" w14:textId="533A7F99" w:rsidR="007C0354" w:rsidRPr="00C30E60" w:rsidRDefault="007C0354" w:rsidP="007C0354">
            <w:pPr>
              <w:spacing w:after="0"/>
              <w:rPr>
                <w:rFonts w:ascii="Garamond" w:hAnsi="Garamond"/>
                <w:b/>
                <w:u w:val="single"/>
              </w:rPr>
            </w:pPr>
            <w:r w:rsidRPr="00D85B6E">
              <w:rPr>
                <w:sz w:val="20"/>
                <w:szCs w:val="20"/>
              </w:rPr>
              <w:t>2 - En voie de liquidation</w:t>
            </w:r>
          </w:p>
        </w:tc>
      </w:tr>
      <w:tr w:rsidR="007C0354" w:rsidRPr="008171AD" w14:paraId="35E6A68D" w14:textId="77777777" w:rsidTr="007B1E31">
        <w:tblPrEx>
          <w:tblCellMar>
            <w:left w:w="70" w:type="dxa"/>
            <w:right w:w="70" w:type="dxa"/>
          </w:tblCellMar>
        </w:tblPrEx>
        <w:trPr>
          <w:cantSplit/>
        </w:trPr>
        <w:tc>
          <w:tcPr>
            <w:tcW w:w="1335" w:type="pct"/>
            <w:tcBorders>
              <w:top w:val="single" w:sz="4" w:space="0" w:color="auto"/>
              <w:left w:val="single" w:sz="4" w:space="0" w:color="auto"/>
              <w:bottom w:val="single" w:sz="4" w:space="0" w:color="auto"/>
              <w:right w:val="single" w:sz="4" w:space="0" w:color="auto"/>
            </w:tcBorders>
            <w:shd w:val="clear" w:color="000000" w:fill="FFFFFF" w:themeFill="background1"/>
          </w:tcPr>
          <w:p w14:paraId="0A3E8D9D" w14:textId="53C5E019" w:rsidR="007C0354" w:rsidRPr="007C0354" w:rsidRDefault="007C0354" w:rsidP="007C0354">
            <w:pPr>
              <w:spacing w:after="0"/>
              <w:rPr>
                <w:rFonts w:ascii="Garamond" w:hAnsi="Garamond"/>
              </w:rPr>
            </w:pPr>
            <w:r w:rsidRPr="00D85B6E">
              <w:rPr>
                <w:rFonts w:ascii="Times New Roman" w:hAnsi="Times New Roman" w:cs="Times New Roman"/>
                <w:sz w:val="20"/>
                <w:szCs w:val="20"/>
              </w:rPr>
              <w:t>Utilisation d’un pool commun d’actifs pour toutes les options d’investissement</w:t>
            </w:r>
          </w:p>
        </w:tc>
        <w:tc>
          <w:tcPr>
            <w:tcW w:w="489" w:type="pct"/>
            <w:tcBorders>
              <w:top w:val="single" w:sz="4" w:space="0" w:color="auto"/>
              <w:left w:val="single" w:sz="4" w:space="0" w:color="auto"/>
              <w:bottom w:val="single" w:sz="4" w:space="0" w:color="auto"/>
              <w:right w:val="single" w:sz="4" w:space="0" w:color="auto"/>
            </w:tcBorders>
            <w:shd w:val="clear" w:color="000000" w:fill="FFFFFF" w:themeFill="background1"/>
          </w:tcPr>
          <w:p w14:paraId="1CCB8366" w14:textId="61131B04" w:rsidR="007C0354" w:rsidRDefault="007C0354" w:rsidP="007C0354">
            <w:pPr>
              <w:spacing w:after="0"/>
              <w:jc w:val="both"/>
              <w:rPr>
                <w:rFonts w:ascii="Garamond" w:hAnsi="Garamond"/>
              </w:rPr>
            </w:pPr>
            <w:r>
              <w:rPr>
                <w:rFonts w:ascii="Times New Roman" w:hAnsi="Times New Roman" w:cs="Times New Roman"/>
                <w:sz w:val="20"/>
                <w:szCs w:val="20"/>
              </w:rPr>
              <w:t>C0190</w:t>
            </w:r>
          </w:p>
        </w:tc>
        <w:tc>
          <w:tcPr>
            <w:tcW w:w="3176" w:type="pct"/>
            <w:tcBorders>
              <w:top w:val="single" w:sz="4" w:space="0" w:color="auto"/>
              <w:left w:val="single" w:sz="4" w:space="0" w:color="auto"/>
              <w:bottom w:val="single" w:sz="4" w:space="0" w:color="auto"/>
              <w:right w:val="single" w:sz="4" w:space="0" w:color="auto"/>
            </w:tcBorders>
            <w:shd w:val="clear" w:color="000000" w:fill="FFFFFF" w:themeFill="background1"/>
          </w:tcPr>
          <w:p w14:paraId="1C1C5CD5" w14:textId="77777777" w:rsidR="00E1455D" w:rsidRDefault="00E1455D" w:rsidP="00E1455D">
            <w:pPr>
              <w:spacing w:after="0"/>
              <w:rPr>
                <w:rFonts w:ascii="Garamond" w:hAnsi="Garamond"/>
              </w:rPr>
            </w:pPr>
            <w:r w:rsidRPr="00C30E60">
              <w:rPr>
                <w:rFonts w:ascii="Garamond" w:hAnsi="Garamond"/>
                <w:b/>
                <w:u w:val="single"/>
              </w:rPr>
              <w:t>Annuel</w:t>
            </w:r>
          </w:p>
          <w:p w14:paraId="063DFC55" w14:textId="77777777" w:rsidR="007C0354" w:rsidRPr="00D85B6E" w:rsidRDefault="007C0354" w:rsidP="007C0354">
            <w:pPr>
              <w:pStyle w:val="Default"/>
              <w:rPr>
                <w:sz w:val="20"/>
                <w:szCs w:val="20"/>
              </w:rPr>
            </w:pPr>
            <w:r w:rsidRPr="00D85B6E">
              <w:rPr>
                <w:sz w:val="20"/>
                <w:szCs w:val="20"/>
              </w:rPr>
              <w:t>Préciser si un pool commun d’actifs est utilisé pour toutes les options d’investissement.</w:t>
            </w:r>
          </w:p>
          <w:p w14:paraId="13060400" w14:textId="77777777" w:rsidR="007C0354" w:rsidRPr="00D85B6E" w:rsidRDefault="007C0354" w:rsidP="007C0354">
            <w:pPr>
              <w:pStyle w:val="Default"/>
              <w:rPr>
                <w:sz w:val="20"/>
                <w:szCs w:val="20"/>
              </w:rPr>
            </w:pPr>
          </w:p>
          <w:p w14:paraId="68D43389" w14:textId="77777777" w:rsidR="007C0354" w:rsidRDefault="007C0354" w:rsidP="007C0354">
            <w:pPr>
              <w:pStyle w:val="Default"/>
              <w:rPr>
                <w:sz w:val="20"/>
                <w:szCs w:val="20"/>
              </w:rPr>
            </w:pPr>
            <w:r w:rsidRPr="00D85B6E">
              <w:rPr>
                <w:sz w:val="20"/>
                <w:szCs w:val="20"/>
              </w:rPr>
              <w:t>Choisir impérativement l’une des options suivantes:</w:t>
            </w:r>
          </w:p>
          <w:p w14:paraId="2FCA102C" w14:textId="77777777" w:rsidR="007C0354" w:rsidRDefault="007C0354" w:rsidP="007C0354">
            <w:pPr>
              <w:pStyle w:val="Default"/>
              <w:rPr>
                <w:sz w:val="20"/>
                <w:szCs w:val="20"/>
              </w:rPr>
            </w:pPr>
            <w:r>
              <w:rPr>
                <w:sz w:val="20"/>
                <w:szCs w:val="20"/>
              </w:rPr>
              <w:t>1 - Oui</w:t>
            </w:r>
          </w:p>
          <w:p w14:paraId="467C9ED8" w14:textId="75DB360F" w:rsidR="007C0354" w:rsidRPr="00C30E60" w:rsidRDefault="007C0354" w:rsidP="007C0354">
            <w:pPr>
              <w:spacing w:after="0"/>
              <w:rPr>
                <w:rFonts w:ascii="Garamond" w:hAnsi="Garamond"/>
                <w:b/>
                <w:u w:val="single"/>
              </w:rPr>
            </w:pPr>
            <w:r>
              <w:rPr>
                <w:sz w:val="20"/>
                <w:szCs w:val="20"/>
              </w:rPr>
              <w:t>2 - Non</w:t>
            </w:r>
          </w:p>
        </w:tc>
      </w:tr>
    </w:tbl>
    <w:tbl>
      <w:tblPr>
        <w:tblW w:w="8931" w:type="dxa"/>
        <w:tblLayout w:type="fixed"/>
        <w:tblCellMar>
          <w:left w:w="70" w:type="dxa"/>
          <w:right w:w="70" w:type="dxa"/>
        </w:tblCellMar>
        <w:tblLook w:val="04A0" w:firstRow="1" w:lastRow="0" w:firstColumn="1" w:lastColumn="0" w:noHBand="0" w:noVBand="1"/>
      </w:tblPr>
      <w:tblGrid>
        <w:gridCol w:w="851"/>
        <w:gridCol w:w="6095"/>
        <w:gridCol w:w="992"/>
        <w:gridCol w:w="993"/>
      </w:tblGrid>
      <w:tr w:rsidR="000763C3" w:rsidRPr="000763C3" w14:paraId="68444290" w14:textId="77777777" w:rsidTr="007B1E31">
        <w:trPr>
          <w:trHeight w:val="300"/>
        </w:trPr>
        <w:tc>
          <w:tcPr>
            <w:tcW w:w="6946" w:type="dxa"/>
            <w:gridSpan w:val="2"/>
            <w:tcBorders>
              <w:top w:val="nil"/>
              <w:left w:val="nil"/>
              <w:bottom w:val="nil"/>
              <w:right w:val="nil"/>
            </w:tcBorders>
            <w:shd w:val="clear" w:color="auto" w:fill="auto"/>
            <w:noWrap/>
            <w:vAlign w:val="bottom"/>
            <w:hideMark/>
          </w:tcPr>
          <w:p w14:paraId="6C94089E" w14:textId="77777777" w:rsidR="000763C3" w:rsidRPr="007B1E31" w:rsidRDefault="000763C3" w:rsidP="000763C3">
            <w:pPr>
              <w:spacing w:after="0" w:line="240" w:lineRule="auto"/>
              <w:rPr>
                <w:rFonts w:ascii="Times New Roman" w:eastAsia="Times New Roman" w:hAnsi="Times New Roman" w:cs="Times New Roman"/>
                <w:b/>
                <w:bCs/>
                <w:color w:val="FF0000"/>
                <w:sz w:val="20"/>
                <w:szCs w:val="20"/>
                <w:lang w:eastAsia="fr-FR"/>
              </w:rPr>
            </w:pPr>
            <w:r w:rsidRPr="007B1E31">
              <w:rPr>
                <w:rFonts w:ascii="Times New Roman" w:eastAsia="Times New Roman" w:hAnsi="Times New Roman" w:cs="Times New Roman"/>
                <w:b/>
                <w:bCs/>
                <w:color w:val="FF0000"/>
                <w:sz w:val="20"/>
                <w:szCs w:val="20"/>
                <w:lang w:eastAsia="fr-FR"/>
              </w:rPr>
              <w:t>PFE.01.02.30</w:t>
            </w:r>
          </w:p>
        </w:tc>
        <w:tc>
          <w:tcPr>
            <w:tcW w:w="992" w:type="dxa"/>
            <w:tcBorders>
              <w:top w:val="nil"/>
              <w:left w:val="nil"/>
              <w:bottom w:val="nil"/>
              <w:right w:val="nil"/>
            </w:tcBorders>
            <w:shd w:val="clear" w:color="auto" w:fill="auto"/>
            <w:noWrap/>
            <w:vAlign w:val="center"/>
            <w:hideMark/>
          </w:tcPr>
          <w:p w14:paraId="061B7FA7" w14:textId="77777777" w:rsidR="000763C3" w:rsidRPr="007B1E31" w:rsidRDefault="000763C3" w:rsidP="000763C3">
            <w:pPr>
              <w:spacing w:after="0" w:line="240" w:lineRule="auto"/>
              <w:rPr>
                <w:rFonts w:ascii="Times New Roman" w:eastAsia="Times New Roman" w:hAnsi="Times New Roman" w:cs="Times New Roman"/>
                <w:b/>
                <w:bCs/>
                <w:color w:val="FF0000"/>
                <w:sz w:val="20"/>
                <w:szCs w:val="20"/>
                <w:lang w:eastAsia="fr-FR"/>
              </w:rPr>
            </w:pPr>
          </w:p>
        </w:tc>
        <w:tc>
          <w:tcPr>
            <w:tcW w:w="993" w:type="dxa"/>
            <w:tcBorders>
              <w:top w:val="nil"/>
              <w:left w:val="nil"/>
              <w:bottom w:val="nil"/>
              <w:right w:val="nil"/>
            </w:tcBorders>
            <w:shd w:val="clear" w:color="auto" w:fill="auto"/>
            <w:noWrap/>
            <w:vAlign w:val="center"/>
            <w:hideMark/>
          </w:tcPr>
          <w:p w14:paraId="67FCCCA8"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51205CD7" w14:textId="77777777" w:rsidTr="007B1E31">
        <w:trPr>
          <w:trHeight w:val="300"/>
        </w:trPr>
        <w:tc>
          <w:tcPr>
            <w:tcW w:w="6946" w:type="dxa"/>
            <w:gridSpan w:val="2"/>
            <w:tcBorders>
              <w:top w:val="nil"/>
              <w:left w:val="nil"/>
              <w:bottom w:val="nil"/>
              <w:right w:val="nil"/>
            </w:tcBorders>
            <w:shd w:val="clear" w:color="auto" w:fill="auto"/>
            <w:noWrap/>
            <w:vAlign w:val="bottom"/>
            <w:hideMark/>
          </w:tcPr>
          <w:p w14:paraId="1DBA7FFB" w14:textId="77777777" w:rsidR="000763C3" w:rsidRPr="007B1E31" w:rsidRDefault="000763C3" w:rsidP="000763C3">
            <w:pPr>
              <w:spacing w:after="0" w:line="240" w:lineRule="auto"/>
              <w:rPr>
                <w:rFonts w:ascii="Times New Roman" w:eastAsia="Times New Roman" w:hAnsi="Times New Roman" w:cs="Times New Roman"/>
                <w:b/>
                <w:bCs/>
                <w:color w:val="000000"/>
                <w:sz w:val="20"/>
                <w:szCs w:val="20"/>
                <w:lang w:eastAsia="fr-FR"/>
              </w:rPr>
            </w:pPr>
            <w:r w:rsidRPr="007B1E31">
              <w:rPr>
                <w:rFonts w:ascii="Times New Roman" w:eastAsia="Times New Roman" w:hAnsi="Times New Roman" w:cs="Times New Roman"/>
                <w:b/>
                <w:bCs/>
                <w:color w:val="000000"/>
                <w:sz w:val="20"/>
                <w:szCs w:val="20"/>
                <w:lang w:eastAsia="fr-FR"/>
              </w:rPr>
              <w:t xml:space="preserve">Information générale [Pension </w:t>
            </w:r>
            <w:proofErr w:type="spellStart"/>
            <w:r w:rsidRPr="007B1E31">
              <w:rPr>
                <w:rFonts w:ascii="Times New Roman" w:eastAsia="Times New Roman" w:hAnsi="Times New Roman" w:cs="Times New Roman"/>
                <w:b/>
                <w:bCs/>
                <w:color w:val="000000"/>
                <w:sz w:val="20"/>
                <w:szCs w:val="20"/>
                <w:lang w:eastAsia="fr-FR"/>
              </w:rPr>
              <w:t>funds</w:t>
            </w:r>
            <w:proofErr w:type="spellEnd"/>
            <w:r w:rsidRPr="007B1E31">
              <w:rPr>
                <w:rFonts w:ascii="Times New Roman" w:eastAsia="Times New Roman" w:hAnsi="Times New Roman" w:cs="Times New Roman"/>
                <w:b/>
                <w:bCs/>
                <w:color w:val="000000"/>
                <w:sz w:val="20"/>
                <w:szCs w:val="20"/>
                <w:lang w:eastAsia="fr-FR"/>
              </w:rPr>
              <w:t xml:space="preserve"> </w:t>
            </w:r>
            <w:proofErr w:type="spellStart"/>
            <w:r w:rsidRPr="007B1E31">
              <w:rPr>
                <w:rFonts w:ascii="Times New Roman" w:eastAsia="Times New Roman" w:hAnsi="Times New Roman" w:cs="Times New Roman"/>
                <w:b/>
                <w:bCs/>
                <w:color w:val="000000"/>
                <w:sz w:val="20"/>
                <w:szCs w:val="20"/>
                <w:lang w:eastAsia="fr-FR"/>
              </w:rPr>
              <w:t>with</w:t>
            </w:r>
            <w:proofErr w:type="spellEnd"/>
            <w:r w:rsidRPr="007B1E31">
              <w:rPr>
                <w:rFonts w:ascii="Times New Roman" w:eastAsia="Times New Roman" w:hAnsi="Times New Roman" w:cs="Times New Roman"/>
                <w:b/>
                <w:bCs/>
                <w:color w:val="000000"/>
                <w:sz w:val="20"/>
                <w:szCs w:val="20"/>
                <w:lang w:eastAsia="fr-FR"/>
              </w:rPr>
              <w:t xml:space="preserve"> ECB </w:t>
            </w:r>
            <w:proofErr w:type="spellStart"/>
            <w:r w:rsidRPr="007B1E31">
              <w:rPr>
                <w:rFonts w:ascii="Times New Roman" w:eastAsia="Times New Roman" w:hAnsi="Times New Roman" w:cs="Times New Roman"/>
                <w:b/>
                <w:bCs/>
                <w:color w:val="000000"/>
                <w:sz w:val="20"/>
                <w:szCs w:val="20"/>
                <w:lang w:eastAsia="fr-FR"/>
              </w:rPr>
              <w:t>add-ons</w:t>
            </w:r>
            <w:proofErr w:type="spellEnd"/>
            <w:r w:rsidRPr="007B1E31">
              <w:rPr>
                <w:rFonts w:ascii="Times New Roman" w:eastAsia="Times New Roman" w:hAnsi="Times New Roman" w:cs="Times New Roman"/>
                <w:b/>
                <w:bCs/>
                <w:color w:val="000000"/>
                <w:sz w:val="20"/>
                <w:szCs w:val="20"/>
                <w:lang w:eastAsia="fr-FR"/>
              </w:rPr>
              <w:t>]</w:t>
            </w:r>
          </w:p>
        </w:tc>
        <w:tc>
          <w:tcPr>
            <w:tcW w:w="992" w:type="dxa"/>
            <w:tcBorders>
              <w:top w:val="nil"/>
              <w:left w:val="nil"/>
              <w:bottom w:val="nil"/>
              <w:right w:val="nil"/>
            </w:tcBorders>
            <w:shd w:val="clear" w:color="auto" w:fill="auto"/>
            <w:noWrap/>
            <w:vAlign w:val="center"/>
            <w:hideMark/>
          </w:tcPr>
          <w:p w14:paraId="16CC88B8" w14:textId="77777777" w:rsidR="000763C3" w:rsidRPr="007B1E31" w:rsidRDefault="000763C3" w:rsidP="000763C3">
            <w:pPr>
              <w:spacing w:after="0" w:line="240" w:lineRule="auto"/>
              <w:rPr>
                <w:rFonts w:ascii="Times New Roman" w:eastAsia="Times New Roman" w:hAnsi="Times New Roman" w:cs="Times New Roman"/>
                <w:b/>
                <w:bCs/>
                <w:color w:val="000000"/>
                <w:sz w:val="20"/>
                <w:szCs w:val="20"/>
                <w:lang w:eastAsia="fr-FR"/>
              </w:rPr>
            </w:pPr>
          </w:p>
        </w:tc>
        <w:tc>
          <w:tcPr>
            <w:tcW w:w="993" w:type="dxa"/>
            <w:tcBorders>
              <w:top w:val="nil"/>
              <w:left w:val="nil"/>
              <w:bottom w:val="nil"/>
              <w:right w:val="nil"/>
            </w:tcBorders>
            <w:shd w:val="clear" w:color="auto" w:fill="auto"/>
            <w:noWrap/>
            <w:vAlign w:val="center"/>
            <w:hideMark/>
          </w:tcPr>
          <w:p w14:paraId="3FA5A7BA"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1A1BA0AA" w14:textId="77777777" w:rsidTr="007B1E31">
        <w:trPr>
          <w:trHeight w:val="300"/>
        </w:trPr>
        <w:tc>
          <w:tcPr>
            <w:tcW w:w="851" w:type="dxa"/>
            <w:tcBorders>
              <w:top w:val="nil"/>
              <w:left w:val="nil"/>
              <w:bottom w:val="nil"/>
              <w:right w:val="nil"/>
            </w:tcBorders>
            <w:shd w:val="clear" w:color="auto" w:fill="auto"/>
            <w:noWrap/>
            <w:vAlign w:val="center"/>
            <w:hideMark/>
          </w:tcPr>
          <w:p w14:paraId="61968EE0"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6095" w:type="dxa"/>
            <w:tcBorders>
              <w:top w:val="nil"/>
              <w:left w:val="nil"/>
              <w:bottom w:val="nil"/>
              <w:right w:val="nil"/>
            </w:tcBorders>
            <w:shd w:val="clear" w:color="auto" w:fill="auto"/>
            <w:noWrap/>
            <w:vAlign w:val="center"/>
            <w:hideMark/>
          </w:tcPr>
          <w:p w14:paraId="67F4215B"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992" w:type="dxa"/>
            <w:tcBorders>
              <w:top w:val="nil"/>
              <w:left w:val="nil"/>
              <w:bottom w:val="nil"/>
              <w:right w:val="nil"/>
            </w:tcBorders>
            <w:shd w:val="clear" w:color="auto" w:fill="auto"/>
            <w:noWrap/>
            <w:vAlign w:val="center"/>
            <w:hideMark/>
          </w:tcPr>
          <w:p w14:paraId="1BB0952D"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993" w:type="dxa"/>
            <w:tcBorders>
              <w:top w:val="nil"/>
              <w:left w:val="nil"/>
              <w:bottom w:val="nil"/>
              <w:right w:val="nil"/>
            </w:tcBorders>
            <w:shd w:val="clear" w:color="auto" w:fill="auto"/>
            <w:noWrap/>
            <w:vAlign w:val="center"/>
            <w:hideMark/>
          </w:tcPr>
          <w:p w14:paraId="60578F26"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611907ED" w14:textId="77777777" w:rsidTr="007B1E31">
        <w:trPr>
          <w:trHeight w:val="300"/>
        </w:trPr>
        <w:tc>
          <w:tcPr>
            <w:tcW w:w="6946" w:type="dxa"/>
            <w:gridSpan w:val="2"/>
            <w:tcBorders>
              <w:top w:val="nil"/>
              <w:left w:val="nil"/>
              <w:bottom w:val="nil"/>
              <w:right w:val="nil"/>
            </w:tcBorders>
            <w:shd w:val="clear" w:color="auto" w:fill="auto"/>
            <w:noWrap/>
            <w:vAlign w:val="bottom"/>
            <w:hideMark/>
          </w:tcPr>
          <w:p w14:paraId="30EF56E7" w14:textId="77777777" w:rsidR="000763C3" w:rsidRPr="007B1E31" w:rsidRDefault="000763C3" w:rsidP="000763C3">
            <w:pPr>
              <w:spacing w:after="0" w:line="240" w:lineRule="auto"/>
              <w:rPr>
                <w:rFonts w:ascii="Times New Roman" w:eastAsia="Times New Roman" w:hAnsi="Times New Roman" w:cs="Times New Roman"/>
                <w:b/>
                <w:bCs/>
                <w:color w:val="FF0000"/>
                <w:sz w:val="20"/>
                <w:szCs w:val="20"/>
                <w:lang w:eastAsia="fr-FR"/>
              </w:rPr>
            </w:pPr>
            <w:r w:rsidRPr="007B1E31">
              <w:rPr>
                <w:rFonts w:ascii="Times New Roman" w:eastAsia="Times New Roman" w:hAnsi="Times New Roman" w:cs="Times New Roman"/>
                <w:b/>
                <w:bCs/>
                <w:color w:val="FF0000"/>
                <w:sz w:val="20"/>
                <w:szCs w:val="20"/>
                <w:lang w:eastAsia="fr-FR"/>
              </w:rPr>
              <w:t>PFE.01.02.30.01</w:t>
            </w:r>
          </w:p>
        </w:tc>
        <w:tc>
          <w:tcPr>
            <w:tcW w:w="992" w:type="dxa"/>
            <w:tcBorders>
              <w:top w:val="nil"/>
              <w:left w:val="nil"/>
              <w:bottom w:val="nil"/>
              <w:right w:val="nil"/>
            </w:tcBorders>
            <w:shd w:val="clear" w:color="auto" w:fill="auto"/>
            <w:noWrap/>
            <w:vAlign w:val="center"/>
            <w:hideMark/>
          </w:tcPr>
          <w:p w14:paraId="68E597C9" w14:textId="77777777" w:rsidR="000763C3" w:rsidRPr="007B1E31" w:rsidRDefault="000763C3" w:rsidP="000763C3">
            <w:pPr>
              <w:spacing w:after="0" w:line="240" w:lineRule="auto"/>
              <w:rPr>
                <w:rFonts w:ascii="Times New Roman" w:eastAsia="Times New Roman" w:hAnsi="Times New Roman" w:cs="Times New Roman"/>
                <w:b/>
                <w:bCs/>
                <w:color w:val="FF0000"/>
                <w:sz w:val="20"/>
                <w:szCs w:val="20"/>
                <w:lang w:eastAsia="fr-FR"/>
              </w:rPr>
            </w:pPr>
          </w:p>
        </w:tc>
        <w:tc>
          <w:tcPr>
            <w:tcW w:w="993" w:type="dxa"/>
            <w:tcBorders>
              <w:top w:val="nil"/>
              <w:left w:val="nil"/>
              <w:bottom w:val="nil"/>
              <w:right w:val="nil"/>
            </w:tcBorders>
            <w:shd w:val="clear" w:color="auto" w:fill="auto"/>
            <w:noWrap/>
            <w:vAlign w:val="center"/>
            <w:hideMark/>
          </w:tcPr>
          <w:p w14:paraId="4AFCD8E1"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434D2A68" w14:textId="77777777" w:rsidTr="007B1E31">
        <w:trPr>
          <w:trHeight w:val="300"/>
        </w:trPr>
        <w:tc>
          <w:tcPr>
            <w:tcW w:w="6946" w:type="dxa"/>
            <w:gridSpan w:val="2"/>
            <w:tcBorders>
              <w:top w:val="nil"/>
              <w:left w:val="nil"/>
              <w:bottom w:val="nil"/>
              <w:right w:val="nil"/>
            </w:tcBorders>
            <w:shd w:val="clear" w:color="auto" w:fill="auto"/>
            <w:noWrap/>
            <w:vAlign w:val="bottom"/>
            <w:hideMark/>
          </w:tcPr>
          <w:p w14:paraId="18520749" w14:textId="77777777" w:rsidR="000763C3" w:rsidRPr="007B1E31" w:rsidRDefault="000763C3" w:rsidP="000763C3">
            <w:pPr>
              <w:spacing w:after="0" w:line="240" w:lineRule="auto"/>
              <w:rPr>
                <w:rFonts w:ascii="Times New Roman" w:eastAsia="Times New Roman" w:hAnsi="Times New Roman" w:cs="Times New Roman"/>
                <w:b/>
                <w:bCs/>
                <w:color w:val="000000"/>
                <w:sz w:val="20"/>
                <w:szCs w:val="20"/>
                <w:lang w:eastAsia="fr-FR"/>
              </w:rPr>
            </w:pPr>
            <w:r w:rsidRPr="007B1E31">
              <w:rPr>
                <w:rFonts w:ascii="Times New Roman" w:eastAsia="Times New Roman" w:hAnsi="Times New Roman" w:cs="Times New Roman"/>
                <w:b/>
                <w:bCs/>
                <w:color w:val="000000"/>
                <w:sz w:val="20"/>
                <w:szCs w:val="20"/>
                <w:lang w:eastAsia="fr-FR"/>
              </w:rPr>
              <w:t xml:space="preserve">Information générale [Pension </w:t>
            </w:r>
            <w:proofErr w:type="spellStart"/>
            <w:r w:rsidRPr="007B1E31">
              <w:rPr>
                <w:rFonts w:ascii="Times New Roman" w:eastAsia="Times New Roman" w:hAnsi="Times New Roman" w:cs="Times New Roman"/>
                <w:b/>
                <w:bCs/>
                <w:color w:val="000000"/>
                <w:sz w:val="20"/>
                <w:szCs w:val="20"/>
                <w:lang w:eastAsia="fr-FR"/>
              </w:rPr>
              <w:t>funds</w:t>
            </w:r>
            <w:proofErr w:type="spellEnd"/>
            <w:r w:rsidRPr="007B1E31">
              <w:rPr>
                <w:rFonts w:ascii="Times New Roman" w:eastAsia="Times New Roman" w:hAnsi="Times New Roman" w:cs="Times New Roman"/>
                <w:b/>
                <w:bCs/>
                <w:color w:val="000000"/>
                <w:sz w:val="20"/>
                <w:szCs w:val="20"/>
                <w:lang w:eastAsia="fr-FR"/>
              </w:rPr>
              <w:t xml:space="preserve"> </w:t>
            </w:r>
            <w:proofErr w:type="spellStart"/>
            <w:r w:rsidRPr="007B1E31">
              <w:rPr>
                <w:rFonts w:ascii="Times New Roman" w:eastAsia="Times New Roman" w:hAnsi="Times New Roman" w:cs="Times New Roman"/>
                <w:b/>
                <w:bCs/>
                <w:color w:val="000000"/>
                <w:sz w:val="20"/>
                <w:szCs w:val="20"/>
                <w:lang w:eastAsia="fr-FR"/>
              </w:rPr>
              <w:t>with</w:t>
            </w:r>
            <w:proofErr w:type="spellEnd"/>
            <w:r w:rsidRPr="007B1E31">
              <w:rPr>
                <w:rFonts w:ascii="Times New Roman" w:eastAsia="Times New Roman" w:hAnsi="Times New Roman" w:cs="Times New Roman"/>
                <w:b/>
                <w:bCs/>
                <w:color w:val="000000"/>
                <w:sz w:val="20"/>
                <w:szCs w:val="20"/>
                <w:lang w:eastAsia="fr-FR"/>
              </w:rPr>
              <w:t xml:space="preserve"> ECB </w:t>
            </w:r>
            <w:proofErr w:type="spellStart"/>
            <w:r w:rsidRPr="007B1E31">
              <w:rPr>
                <w:rFonts w:ascii="Times New Roman" w:eastAsia="Times New Roman" w:hAnsi="Times New Roman" w:cs="Times New Roman"/>
                <w:b/>
                <w:bCs/>
                <w:color w:val="000000"/>
                <w:sz w:val="20"/>
                <w:szCs w:val="20"/>
                <w:lang w:eastAsia="fr-FR"/>
              </w:rPr>
              <w:t>add-ons</w:t>
            </w:r>
            <w:proofErr w:type="spellEnd"/>
            <w:r w:rsidRPr="007B1E31">
              <w:rPr>
                <w:rFonts w:ascii="Times New Roman" w:eastAsia="Times New Roman" w:hAnsi="Times New Roman" w:cs="Times New Roman"/>
                <w:b/>
                <w:bCs/>
                <w:color w:val="000000"/>
                <w:sz w:val="20"/>
                <w:szCs w:val="20"/>
                <w:lang w:eastAsia="fr-FR"/>
              </w:rPr>
              <w:t>]</w:t>
            </w:r>
          </w:p>
        </w:tc>
        <w:tc>
          <w:tcPr>
            <w:tcW w:w="992" w:type="dxa"/>
            <w:tcBorders>
              <w:top w:val="nil"/>
              <w:left w:val="nil"/>
              <w:bottom w:val="nil"/>
              <w:right w:val="nil"/>
            </w:tcBorders>
            <w:shd w:val="clear" w:color="auto" w:fill="auto"/>
            <w:noWrap/>
            <w:vAlign w:val="center"/>
            <w:hideMark/>
          </w:tcPr>
          <w:p w14:paraId="1DEE3C7C" w14:textId="77777777" w:rsidR="000763C3" w:rsidRPr="007B1E31" w:rsidRDefault="000763C3" w:rsidP="000763C3">
            <w:pPr>
              <w:spacing w:after="0" w:line="240" w:lineRule="auto"/>
              <w:rPr>
                <w:rFonts w:ascii="Times New Roman" w:eastAsia="Times New Roman" w:hAnsi="Times New Roman" w:cs="Times New Roman"/>
                <w:b/>
                <w:bCs/>
                <w:color w:val="000000"/>
                <w:sz w:val="20"/>
                <w:szCs w:val="20"/>
                <w:lang w:eastAsia="fr-FR"/>
              </w:rPr>
            </w:pPr>
          </w:p>
        </w:tc>
        <w:tc>
          <w:tcPr>
            <w:tcW w:w="993" w:type="dxa"/>
            <w:tcBorders>
              <w:top w:val="nil"/>
              <w:left w:val="nil"/>
              <w:bottom w:val="nil"/>
              <w:right w:val="nil"/>
            </w:tcBorders>
            <w:shd w:val="clear" w:color="auto" w:fill="auto"/>
            <w:noWrap/>
            <w:vAlign w:val="center"/>
            <w:hideMark/>
          </w:tcPr>
          <w:p w14:paraId="57932707"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6FF2C7C7" w14:textId="77777777" w:rsidTr="007B1E31">
        <w:trPr>
          <w:trHeight w:val="300"/>
        </w:trPr>
        <w:tc>
          <w:tcPr>
            <w:tcW w:w="851" w:type="dxa"/>
            <w:tcBorders>
              <w:top w:val="nil"/>
              <w:left w:val="nil"/>
              <w:bottom w:val="nil"/>
              <w:right w:val="nil"/>
            </w:tcBorders>
            <w:shd w:val="clear" w:color="auto" w:fill="auto"/>
            <w:noWrap/>
            <w:vAlign w:val="center"/>
            <w:hideMark/>
          </w:tcPr>
          <w:p w14:paraId="0260C315"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6095" w:type="dxa"/>
            <w:tcBorders>
              <w:top w:val="nil"/>
              <w:left w:val="nil"/>
              <w:bottom w:val="nil"/>
              <w:right w:val="nil"/>
            </w:tcBorders>
            <w:shd w:val="clear" w:color="auto" w:fill="auto"/>
            <w:noWrap/>
            <w:vAlign w:val="center"/>
            <w:hideMark/>
          </w:tcPr>
          <w:p w14:paraId="5528B44D"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992" w:type="dxa"/>
            <w:tcBorders>
              <w:top w:val="nil"/>
              <w:left w:val="nil"/>
              <w:bottom w:val="nil"/>
              <w:right w:val="nil"/>
            </w:tcBorders>
            <w:shd w:val="clear" w:color="auto" w:fill="auto"/>
            <w:noWrap/>
            <w:vAlign w:val="center"/>
            <w:hideMark/>
          </w:tcPr>
          <w:p w14:paraId="1599C63E"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701F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C0010</w:t>
            </w:r>
          </w:p>
        </w:tc>
      </w:tr>
      <w:tr w:rsidR="000763C3" w:rsidRPr="000763C3" w14:paraId="446E61B9" w14:textId="77777777" w:rsidTr="007B1E31">
        <w:trPr>
          <w:trHeight w:val="300"/>
        </w:trPr>
        <w:tc>
          <w:tcPr>
            <w:tcW w:w="851" w:type="dxa"/>
            <w:tcBorders>
              <w:top w:val="nil"/>
              <w:left w:val="nil"/>
              <w:bottom w:val="nil"/>
              <w:right w:val="nil"/>
            </w:tcBorders>
            <w:shd w:val="clear" w:color="auto" w:fill="auto"/>
            <w:noWrap/>
            <w:vAlign w:val="center"/>
            <w:hideMark/>
          </w:tcPr>
          <w:p w14:paraId="4FE70AD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A328"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Pays d’agrément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B398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R0010</w:t>
            </w:r>
          </w:p>
        </w:tc>
        <w:tc>
          <w:tcPr>
            <w:tcW w:w="993" w:type="dxa"/>
            <w:tcBorders>
              <w:top w:val="nil"/>
              <w:left w:val="single" w:sz="4" w:space="0" w:color="auto"/>
              <w:bottom w:val="single" w:sz="4" w:space="0" w:color="auto"/>
              <w:right w:val="single" w:sz="4" w:space="0" w:color="auto"/>
            </w:tcBorders>
            <w:shd w:val="clear" w:color="auto" w:fill="auto"/>
            <w:hideMark/>
          </w:tcPr>
          <w:p w14:paraId="5FBBD88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24AFD020" w14:textId="77777777" w:rsidTr="007B1E31">
        <w:trPr>
          <w:trHeight w:val="300"/>
        </w:trPr>
        <w:tc>
          <w:tcPr>
            <w:tcW w:w="851" w:type="dxa"/>
            <w:tcBorders>
              <w:top w:val="nil"/>
              <w:left w:val="nil"/>
              <w:bottom w:val="nil"/>
              <w:right w:val="nil"/>
            </w:tcBorders>
            <w:shd w:val="clear" w:color="auto" w:fill="auto"/>
            <w:noWrap/>
            <w:vAlign w:val="center"/>
            <w:hideMark/>
          </w:tcPr>
          <w:p w14:paraId="59A7D64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16D3C34D"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Langue de déclaration</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54F8173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R0015</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4C9FACA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5E5D55FE" w14:textId="77777777" w:rsidTr="007B1E31">
        <w:trPr>
          <w:trHeight w:val="300"/>
        </w:trPr>
        <w:tc>
          <w:tcPr>
            <w:tcW w:w="851" w:type="dxa"/>
            <w:tcBorders>
              <w:top w:val="nil"/>
              <w:left w:val="nil"/>
              <w:bottom w:val="nil"/>
              <w:right w:val="nil"/>
            </w:tcBorders>
            <w:shd w:val="clear" w:color="auto" w:fill="auto"/>
            <w:noWrap/>
            <w:vAlign w:val="center"/>
            <w:hideMark/>
          </w:tcPr>
          <w:p w14:paraId="07D0115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436663D"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iCs/>
                <w:sz w:val="20"/>
                <w:szCs w:val="20"/>
                <w:lang w:eastAsia="fr-FR"/>
              </w:rPr>
              <w:t>Date de déclaration</w:t>
            </w:r>
            <w:bookmarkStart w:id="0" w:name="_GoBack"/>
            <w:bookmarkEnd w:id="0"/>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5FD030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R0020</w:t>
            </w:r>
          </w:p>
        </w:tc>
        <w:tc>
          <w:tcPr>
            <w:tcW w:w="993" w:type="dxa"/>
            <w:tcBorders>
              <w:top w:val="nil"/>
              <w:left w:val="single" w:sz="4" w:space="0" w:color="auto"/>
              <w:bottom w:val="single" w:sz="4" w:space="0" w:color="auto"/>
              <w:right w:val="single" w:sz="4" w:space="0" w:color="auto"/>
            </w:tcBorders>
            <w:shd w:val="clear" w:color="auto" w:fill="auto"/>
            <w:hideMark/>
          </w:tcPr>
          <w:p w14:paraId="16693D3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F12DA5F" w14:textId="77777777" w:rsidTr="007B1E31">
        <w:trPr>
          <w:trHeight w:val="300"/>
        </w:trPr>
        <w:tc>
          <w:tcPr>
            <w:tcW w:w="851" w:type="dxa"/>
            <w:tcBorders>
              <w:top w:val="nil"/>
              <w:left w:val="nil"/>
              <w:bottom w:val="nil"/>
              <w:right w:val="nil"/>
            </w:tcBorders>
            <w:shd w:val="clear" w:color="auto" w:fill="auto"/>
            <w:noWrap/>
            <w:vAlign w:val="center"/>
            <w:hideMark/>
          </w:tcPr>
          <w:p w14:paraId="3DB8DF4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85A266A"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iCs/>
                <w:sz w:val="20"/>
                <w:szCs w:val="20"/>
                <w:lang w:eastAsia="fr-FR"/>
              </w:rPr>
              <w:t>Date de référence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580B43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R0030</w:t>
            </w:r>
          </w:p>
        </w:tc>
        <w:tc>
          <w:tcPr>
            <w:tcW w:w="993" w:type="dxa"/>
            <w:tcBorders>
              <w:top w:val="nil"/>
              <w:left w:val="single" w:sz="4" w:space="0" w:color="auto"/>
              <w:bottom w:val="single" w:sz="4" w:space="0" w:color="auto"/>
              <w:right w:val="single" w:sz="4" w:space="0" w:color="auto"/>
            </w:tcBorders>
            <w:shd w:val="clear" w:color="auto" w:fill="auto"/>
            <w:hideMark/>
          </w:tcPr>
          <w:p w14:paraId="258F21D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365D663C" w14:textId="77777777" w:rsidTr="007B1E31">
        <w:trPr>
          <w:trHeight w:val="300"/>
        </w:trPr>
        <w:tc>
          <w:tcPr>
            <w:tcW w:w="851" w:type="dxa"/>
            <w:tcBorders>
              <w:top w:val="nil"/>
              <w:left w:val="nil"/>
              <w:bottom w:val="nil"/>
              <w:right w:val="nil"/>
            </w:tcBorders>
            <w:shd w:val="clear" w:color="auto" w:fill="auto"/>
            <w:noWrap/>
            <w:vAlign w:val="center"/>
            <w:hideMark/>
          </w:tcPr>
          <w:p w14:paraId="11506C7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55DF81B"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Date de clôture de l'exercice comptable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1040CB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R0040</w:t>
            </w:r>
          </w:p>
        </w:tc>
        <w:tc>
          <w:tcPr>
            <w:tcW w:w="993" w:type="dxa"/>
            <w:tcBorders>
              <w:top w:val="nil"/>
              <w:left w:val="single" w:sz="4" w:space="0" w:color="auto"/>
              <w:bottom w:val="single" w:sz="4" w:space="0" w:color="auto"/>
              <w:right w:val="single" w:sz="4" w:space="0" w:color="auto"/>
            </w:tcBorders>
            <w:shd w:val="clear" w:color="auto" w:fill="auto"/>
            <w:hideMark/>
          </w:tcPr>
          <w:p w14:paraId="636860F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52DBDB83" w14:textId="77777777" w:rsidTr="007B1E31">
        <w:trPr>
          <w:trHeight w:val="300"/>
        </w:trPr>
        <w:tc>
          <w:tcPr>
            <w:tcW w:w="851" w:type="dxa"/>
            <w:tcBorders>
              <w:top w:val="nil"/>
              <w:left w:val="nil"/>
              <w:bottom w:val="nil"/>
              <w:right w:val="nil"/>
            </w:tcBorders>
            <w:shd w:val="clear" w:color="auto" w:fill="auto"/>
            <w:noWrap/>
            <w:vAlign w:val="center"/>
            <w:hideMark/>
          </w:tcPr>
          <w:p w14:paraId="3827D89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6BAD4663"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Monnaie de déclaration</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17237E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R0050</w:t>
            </w:r>
          </w:p>
        </w:tc>
        <w:tc>
          <w:tcPr>
            <w:tcW w:w="993" w:type="dxa"/>
            <w:tcBorders>
              <w:top w:val="nil"/>
              <w:left w:val="single" w:sz="4" w:space="0" w:color="auto"/>
              <w:bottom w:val="single" w:sz="4" w:space="0" w:color="auto"/>
              <w:right w:val="single" w:sz="4" w:space="0" w:color="auto"/>
            </w:tcBorders>
            <w:shd w:val="clear" w:color="auto" w:fill="auto"/>
            <w:hideMark/>
          </w:tcPr>
          <w:p w14:paraId="45D68C9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1149459C" w14:textId="77777777" w:rsidTr="007B1E31">
        <w:trPr>
          <w:trHeight w:val="300"/>
        </w:trPr>
        <w:tc>
          <w:tcPr>
            <w:tcW w:w="851" w:type="dxa"/>
            <w:tcBorders>
              <w:top w:val="nil"/>
              <w:left w:val="nil"/>
              <w:bottom w:val="nil"/>
              <w:right w:val="nil"/>
            </w:tcBorders>
            <w:shd w:val="clear" w:color="auto" w:fill="auto"/>
            <w:noWrap/>
            <w:vAlign w:val="center"/>
            <w:hideMark/>
          </w:tcPr>
          <w:p w14:paraId="578110F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D740463"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Première déclaration ou nouvelle déclaration</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6D8EFB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R0060</w:t>
            </w:r>
          </w:p>
        </w:tc>
        <w:tc>
          <w:tcPr>
            <w:tcW w:w="993" w:type="dxa"/>
            <w:tcBorders>
              <w:top w:val="nil"/>
              <w:left w:val="single" w:sz="4" w:space="0" w:color="auto"/>
              <w:bottom w:val="single" w:sz="4" w:space="0" w:color="auto"/>
              <w:right w:val="single" w:sz="4" w:space="0" w:color="auto"/>
            </w:tcBorders>
            <w:shd w:val="clear" w:color="auto" w:fill="auto"/>
            <w:hideMark/>
          </w:tcPr>
          <w:p w14:paraId="3B71A16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941199D" w14:textId="77777777" w:rsidTr="007B1E31">
        <w:trPr>
          <w:trHeight w:val="300"/>
        </w:trPr>
        <w:tc>
          <w:tcPr>
            <w:tcW w:w="851" w:type="dxa"/>
            <w:tcBorders>
              <w:top w:val="nil"/>
              <w:left w:val="nil"/>
              <w:bottom w:val="nil"/>
              <w:right w:val="nil"/>
            </w:tcBorders>
            <w:shd w:val="clear" w:color="auto" w:fill="auto"/>
            <w:noWrap/>
            <w:vAlign w:val="center"/>
            <w:hideMark/>
          </w:tcPr>
          <w:p w14:paraId="430021B3"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719BA6C"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Nom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111BEB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R0070</w:t>
            </w:r>
          </w:p>
        </w:tc>
        <w:tc>
          <w:tcPr>
            <w:tcW w:w="993" w:type="dxa"/>
            <w:tcBorders>
              <w:top w:val="nil"/>
              <w:left w:val="single" w:sz="4" w:space="0" w:color="auto"/>
              <w:bottom w:val="single" w:sz="4" w:space="0" w:color="auto"/>
              <w:right w:val="single" w:sz="4" w:space="0" w:color="auto"/>
            </w:tcBorders>
            <w:shd w:val="clear" w:color="auto" w:fill="auto"/>
            <w:hideMark/>
          </w:tcPr>
          <w:p w14:paraId="10CF3C1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3435AB7" w14:textId="77777777" w:rsidTr="007B1E31">
        <w:trPr>
          <w:trHeight w:val="300"/>
        </w:trPr>
        <w:tc>
          <w:tcPr>
            <w:tcW w:w="851" w:type="dxa"/>
            <w:tcBorders>
              <w:top w:val="nil"/>
              <w:left w:val="nil"/>
              <w:bottom w:val="nil"/>
              <w:right w:val="nil"/>
            </w:tcBorders>
            <w:shd w:val="clear" w:color="auto" w:fill="auto"/>
            <w:noWrap/>
            <w:vAlign w:val="center"/>
            <w:hideMark/>
          </w:tcPr>
          <w:p w14:paraId="5180A561"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noWrap/>
            <w:vAlign w:val="center"/>
            <w:hideMark/>
          </w:tcPr>
          <w:p w14:paraId="4F555221"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Code d’identification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73C984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R0080</w:t>
            </w:r>
          </w:p>
        </w:tc>
        <w:tc>
          <w:tcPr>
            <w:tcW w:w="993" w:type="dxa"/>
            <w:tcBorders>
              <w:top w:val="nil"/>
              <w:left w:val="single" w:sz="4" w:space="0" w:color="auto"/>
              <w:bottom w:val="single" w:sz="4" w:space="0" w:color="auto"/>
              <w:right w:val="single" w:sz="4" w:space="0" w:color="auto"/>
            </w:tcBorders>
            <w:shd w:val="clear" w:color="auto" w:fill="auto"/>
            <w:hideMark/>
          </w:tcPr>
          <w:p w14:paraId="0AAB936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0BCE85A" w14:textId="77777777" w:rsidTr="007B1E31">
        <w:trPr>
          <w:trHeight w:val="300"/>
        </w:trPr>
        <w:tc>
          <w:tcPr>
            <w:tcW w:w="851" w:type="dxa"/>
            <w:tcBorders>
              <w:top w:val="nil"/>
              <w:left w:val="nil"/>
              <w:bottom w:val="nil"/>
              <w:right w:val="nil"/>
            </w:tcBorders>
            <w:shd w:val="clear" w:color="auto" w:fill="auto"/>
            <w:noWrap/>
            <w:vAlign w:val="center"/>
            <w:hideMark/>
          </w:tcPr>
          <w:p w14:paraId="79FC1F6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84EB007"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Nature juridique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DC3DA2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R0090</w:t>
            </w:r>
          </w:p>
        </w:tc>
        <w:tc>
          <w:tcPr>
            <w:tcW w:w="993" w:type="dxa"/>
            <w:tcBorders>
              <w:top w:val="nil"/>
              <w:left w:val="single" w:sz="4" w:space="0" w:color="auto"/>
              <w:bottom w:val="single" w:sz="4" w:space="0" w:color="auto"/>
              <w:right w:val="single" w:sz="4" w:space="0" w:color="auto"/>
            </w:tcBorders>
            <w:shd w:val="clear" w:color="auto" w:fill="auto"/>
            <w:hideMark/>
          </w:tcPr>
          <w:p w14:paraId="3D93F8C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0CD727C0" w14:textId="77777777" w:rsidTr="007B1E31">
        <w:trPr>
          <w:trHeight w:val="300"/>
        </w:trPr>
        <w:tc>
          <w:tcPr>
            <w:tcW w:w="851" w:type="dxa"/>
            <w:tcBorders>
              <w:top w:val="nil"/>
              <w:left w:val="nil"/>
              <w:bottom w:val="nil"/>
              <w:right w:val="nil"/>
            </w:tcBorders>
            <w:shd w:val="clear" w:color="auto" w:fill="auto"/>
            <w:noWrap/>
            <w:vAlign w:val="center"/>
            <w:hideMark/>
          </w:tcPr>
          <w:p w14:paraId="1A2AA5A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121D34D"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xml:space="preserve">Pension </w:t>
            </w:r>
            <w:proofErr w:type="spellStart"/>
            <w:r w:rsidRPr="007B1E31">
              <w:rPr>
                <w:rFonts w:ascii="Times New Roman" w:eastAsia="Times New Roman" w:hAnsi="Times New Roman" w:cs="Times New Roman"/>
                <w:sz w:val="20"/>
                <w:szCs w:val="20"/>
                <w:lang w:eastAsia="fr-FR"/>
              </w:rPr>
              <w:t>fund</w:t>
            </w:r>
            <w:proofErr w:type="spellEnd"/>
            <w:r w:rsidRPr="007B1E31">
              <w:rPr>
                <w:rFonts w:ascii="Times New Roman" w:eastAsia="Times New Roman" w:hAnsi="Times New Roman" w:cs="Times New Roman"/>
                <w:sz w:val="20"/>
                <w:szCs w:val="20"/>
                <w:lang w:eastAsia="fr-FR"/>
              </w:rPr>
              <w:t xml:space="preserve"> type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9B436C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R0100</w:t>
            </w:r>
          </w:p>
        </w:tc>
        <w:tc>
          <w:tcPr>
            <w:tcW w:w="993" w:type="dxa"/>
            <w:tcBorders>
              <w:top w:val="nil"/>
              <w:left w:val="single" w:sz="4" w:space="0" w:color="auto"/>
              <w:bottom w:val="single" w:sz="4" w:space="0" w:color="auto"/>
              <w:right w:val="single" w:sz="4" w:space="0" w:color="auto"/>
            </w:tcBorders>
            <w:shd w:val="clear" w:color="auto" w:fill="auto"/>
            <w:hideMark/>
          </w:tcPr>
          <w:p w14:paraId="51A6F37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02642A3" w14:textId="77777777" w:rsidTr="007B1E31">
        <w:trPr>
          <w:trHeight w:val="300"/>
        </w:trPr>
        <w:tc>
          <w:tcPr>
            <w:tcW w:w="851" w:type="dxa"/>
            <w:tcBorders>
              <w:top w:val="nil"/>
              <w:left w:val="nil"/>
              <w:bottom w:val="nil"/>
              <w:right w:val="nil"/>
            </w:tcBorders>
            <w:shd w:val="clear" w:color="auto" w:fill="auto"/>
            <w:noWrap/>
            <w:vAlign w:val="center"/>
            <w:hideMark/>
          </w:tcPr>
          <w:p w14:paraId="351CAC7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8114885"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Majorité Cotisations définies / Prestations définies / Mixte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A17D063"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R0110</w:t>
            </w:r>
          </w:p>
        </w:tc>
        <w:tc>
          <w:tcPr>
            <w:tcW w:w="993" w:type="dxa"/>
            <w:tcBorders>
              <w:top w:val="nil"/>
              <w:left w:val="single" w:sz="4" w:space="0" w:color="auto"/>
              <w:bottom w:val="single" w:sz="4" w:space="0" w:color="auto"/>
              <w:right w:val="single" w:sz="4" w:space="0" w:color="auto"/>
            </w:tcBorders>
            <w:shd w:val="clear" w:color="auto" w:fill="auto"/>
            <w:hideMark/>
          </w:tcPr>
          <w:p w14:paraId="3EA2370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2B0CD14B" w14:textId="77777777" w:rsidTr="007B1E31">
        <w:trPr>
          <w:trHeight w:val="300"/>
        </w:trPr>
        <w:tc>
          <w:tcPr>
            <w:tcW w:w="851" w:type="dxa"/>
            <w:tcBorders>
              <w:top w:val="nil"/>
              <w:left w:val="nil"/>
              <w:bottom w:val="nil"/>
              <w:right w:val="nil"/>
            </w:tcBorders>
            <w:shd w:val="clear" w:color="auto" w:fill="auto"/>
            <w:noWrap/>
            <w:vAlign w:val="center"/>
            <w:hideMark/>
          </w:tcPr>
          <w:p w14:paraId="06D7566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E1AC2E7"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Type de mécanisme lié à l'entreprise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3B3D9B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R0120</w:t>
            </w:r>
          </w:p>
        </w:tc>
        <w:tc>
          <w:tcPr>
            <w:tcW w:w="993" w:type="dxa"/>
            <w:tcBorders>
              <w:top w:val="nil"/>
              <w:left w:val="single" w:sz="4" w:space="0" w:color="auto"/>
              <w:bottom w:val="single" w:sz="4" w:space="0" w:color="auto"/>
              <w:right w:val="single" w:sz="4" w:space="0" w:color="auto"/>
            </w:tcBorders>
            <w:shd w:val="clear" w:color="auto" w:fill="auto"/>
            <w:hideMark/>
          </w:tcPr>
          <w:p w14:paraId="15B3BAA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3A60C00" w14:textId="77777777" w:rsidTr="007B1E31">
        <w:trPr>
          <w:trHeight w:val="300"/>
        </w:trPr>
        <w:tc>
          <w:tcPr>
            <w:tcW w:w="851" w:type="dxa"/>
            <w:tcBorders>
              <w:top w:val="nil"/>
              <w:left w:val="nil"/>
              <w:bottom w:val="nil"/>
              <w:right w:val="nil"/>
            </w:tcBorders>
            <w:shd w:val="clear" w:color="auto" w:fill="auto"/>
            <w:noWrap/>
            <w:vAlign w:val="center"/>
            <w:hideMark/>
          </w:tcPr>
          <w:p w14:paraId="25C5F34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3613AEA2" w14:textId="77777777" w:rsidR="000763C3" w:rsidRPr="007B1E31" w:rsidRDefault="000763C3" w:rsidP="000763C3">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Nombre de plans de retraite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C1F58A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R0130</w:t>
            </w:r>
          </w:p>
        </w:tc>
        <w:tc>
          <w:tcPr>
            <w:tcW w:w="993" w:type="dxa"/>
            <w:tcBorders>
              <w:top w:val="nil"/>
              <w:left w:val="single" w:sz="4" w:space="0" w:color="auto"/>
              <w:bottom w:val="single" w:sz="4" w:space="0" w:color="auto"/>
              <w:right w:val="single" w:sz="4" w:space="0" w:color="auto"/>
            </w:tcBorders>
            <w:shd w:val="clear" w:color="auto" w:fill="auto"/>
            <w:hideMark/>
          </w:tcPr>
          <w:p w14:paraId="4998529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BF31967" w14:textId="77777777" w:rsidTr="007B1E31">
        <w:trPr>
          <w:trHeight w:val="300"/>
        </w:trPr>
        <w:tc>
          <w:tcPr>
            <w:tcW w:w="851" w:type="dxa"/>
            <w:tcBorders>
              <w:top w:val="nil"/>
              <w:left w:val="nil"/>
              <w:bottom w:val="nil"/>
              <w:right w:val="nil"/>
            </w:tcBorders>
            <w:shd w:val="clear" w:color="auto" w:fill="auto"/>
            <w:noWrap/>
            <w:vAlign w:val="center"/>
            <w:hideMark/>
          </w:tcPr>
          <w:p w14:paraId="44275A5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34C12BF2" w14:textId="77777777" w:rsidR="000763C3" w:rsidRPr="007B1E31" w:rsidRDefault="000763C3" w:rsidP="000763C3">
            <w:pPr>
              <w:spacing w:after="0" w:line="240" w:lineRule="auto"/>
              <w:rPr>
                <w:rFonts w:ascii="Times New Roman" w:eastAsia="Times New Roman" w:hAnsi="Times New Roman" w:cs="Times New Roman"/>
                <w:b/>
                <w:bCs/>
                <w:sz w:val="20"/>
                <w:szCs w:val="20"/>
                <w:lang w:eastAsia="fr-FR"/>
              </w:rPr>
            </w:pPr>
            <w:proofErr w:type="spellStart"/>
            <w:r w:rsidRPr="007B1E31">
              <w:rPr>
                <w:rFonts w:ascii="Times New Roman" w:eastAsia="Times New Roman" w:hAnsi="Times New Roman" w:cs="Times New Roman"/>
                <w:b/>
                <w:bCs/>
                <w:sz w:val="20"/>
                <w:szCs w:val="20"/>
                <w:lang w:eastAsia="fr-FR"/>
              </w:rPr>
              <w:t>Mechanisme</w:t>
            </w:r>
            <w:proofErr w:type="spellEnd"/>
            <w:r w:rsidRPr="007B1E31">
              <w:rPr>
                <w:rFonts w:ascii="Times New Roman" w:eastAsia="Times New Roman" w:hAnsi="Times New Roman" w:cs="Times New Roman"/>
                <w:b/>
                <w:bCs/>
                <w:sz w:val="20"/>
                <w:szCs w:val="20"/>
                <w:lang w:eastAsia="fr-FR"/>
              </w:rPr>
              <w:t xml:space="preserve"> de sécurité</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1BFBE2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63EFA753"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DFA50AE" w14:textId="77777777" w:rsidTr="007B1E31">
        <w:trPr>
          <w:trHeight w:val="300"/>
        </w:trPr>
        <w:tc>
          <w:tcPr>
            <w:tcW w:w="851" w:type="dxa"/>
            <w:tcBorders>
              <w:top w:val="nil"/>
              <w:left w:val="nil"/>
              <w:bottom w:val="nil"/>
              <w:right w:val="nil"/>
            </w:tcBorders>
            <w:shd w:val="clear" w:color="auto" w:fill="auto"/>
            <w:noWrap/>
            <w:vAlign w:val="center"/>
            <w:hideMark/>
          </w:tcPr>
          <w:p w14:paraId="3822871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1FA5752B"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Support additionnel</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98CB71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1659616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496E2A34" w14:textId="77777777" w:rsidTr="007B1E31">
        <w:trPr>
          <w:trHeight w:val="300"/>
        </w:trPr>
        <w:tc>
          <w:tcPr>
            <w:tcW w:w="851" w:type="dxa"/>
            <w:tcBorders>
              <w:top w:val="nil"/>
              <w:left w:val="nil"/>
              <w:bottom w:val="nil"/>
              <w:right w:val="nil"/>
            </w:tcBorders>
            <w:shd w:val="clear" w:color="auto" w:fill="auto"/>
            <w:noWrap/>
            <w:vAlign w:val="center"/>
            <w:hideMark/>
          </w:tcPr>
          <w:p w14:paraId="06F6201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B3AF0F2"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Augmentation de la contribution de l'employeur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F3A49C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R0140</w:t>
            </w:r>
          </w:p>
        </w:tc>
        <w:tc>
          <w:tcPr>
            <w:tcW w:w="993" w:type="dxa"/>
            <w:tcBorders>
              <w:top w:val="nil"/>
              <w:left w:val="single" w:sz="4" w:space="0" w:color="auto"/>
              <w:bottom w:val="single" w:sz="4" w:space="0" w:color="auto"/>
              <w:right w:val="single" w:sz="4" w:space="0" w:color="auto"/>
            </w:tcBorders>
            <w:shd w:val="clear" w:color="auto" w:fill="auto"/>
            <w:hideMark/>
          </w:tcPr>
          <w:p w14:paraId="4A2D5DA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56F85050" w14:textId="77777777" w:rsidTr="007B1E31">
        <w:trPr>
          <w:trHeight w:val="300"/>
        </w:trPr>
        <w:tc>
          <w:tcPr>
            <w:tcW w:w="851" w:type="dxa"/>
            <w:tcBorders>
              <w:top w:val="nil"/>
              <w:left w:val="nil"/>
              <w:bottom w:val="nil"/>
              <w:right w:val="nil"/>
            </w:tcBorders>
            <w:shd w:val="clear" w:color="auto" w:fill="auto"/>
            <w:noWrap/>
            <w:vAlign w:val="center"/>
            <w:hideMark/>
          </w:tcPr>
          <w:p w14:paraId="2255EDA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589D9B5"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Augmentation de la contribution de l'employé</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471D2A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R0150</w:t>
            </w:r>
          </w:p>
        </w:tc>
        <w:tc>
          <w:tcPr>
            <w:tcW w:w="993" w:type="dxa"/>
            <w:tcBorders>
              <w:top w:val="nil"/>
              <w:left w:val="single" w:sz="4" w:space="0" w:color="auto"/>
              <w:bottom w:val="single" w:sz="4" w:space="0" w:color="auto"/>
              <w:right w:val="single" w:sz="4" w:space="0" w:color="auto"/>
            </w:tcBorders>
            <w:shd w:val="clear" w:color="auto" w:fill="auto"/>
            <w:hideMark/>
          </w:tcPr>
          <w:p w14:paraId="3DAAA7E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6F5581CB" w14:textId="77777777" w:rsidTr="007B1E31">
        <w:trPr>
          <w:trHeight w:val="300"/>
        </w:trPr>
        <w:tc>
          <w:tcPr>
            <w:tcW w:w="851" w:type="dxa"/>
            <w:tcBorders>
              <w:top w:val="nil"/>
              <w:left w:val="nil"/>
              <w:bottom w:val="nil"/>
              <w:right w:val="nil"/>
            </w:tcBorders>
            <w:shd w:val="clear" w:color="auto" w:fill="auto"/>
            <w:noWrap/>
            <w:vAlign w:val="center"/>
            <w:hideMark/>
          </w:tcPr>
          <w:p w14:paraId="0F2DEF8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04A8EB7"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Engagement lié du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751F4A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R0160</w:t>
            </w:r>
          </w:p>
        </w:tc>
        <w:tc>
          <w:tcPr>
            <w:tcW w:w="993" w:type="dxa"/>
            <w:tcBorders>
              <w:top w:val="nil"/>
              <w:left w:val="single" w:sz="4" w:space="0" w:color="auto"/>
              <w:bottom w:val="single" w:sz="4" w:space="0" w:color="auto"/>
              <w:right w:val="single" w:sz="4" w:space="0" w:color="auto"/>
            </w:tcBorders>
            <w:shd w:val="clear" w:color="auto" w:fill="auto"/>
            <w:hideMark/>
          </w:tcPr>
          <w:p w14:paraId="1E243D6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4B89F987" w14:textId="77777777" w:rsidTr="007B1E31">
        <w:trPr>
          <w:trHeight w:val="300"/>
        </w:trPr>
        <w:tc>
          <w:tcPr>
            <w:tcW w:w="851" w:type="dxa"/>
            <w:tcBorders>
              <w:top w:val="nil"/>
              <w:left w:val="nil"/>
              <w:bottom w:val="nil"/>
              <w:right w:val="nil"/>
            </w:tcBorders>
            <w:shd w:val="clear" w:color="auto" w:fill="auto"/>
            <w:noWrap/>
            <w:vAlign w:val="center"/>
            <w:hideMark/>
          </w:tcPr>
          <w:p w14:paraId="3E614AF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3586009C"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Autres engagements du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0D2257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R0170</w:t>
            </w:r>
          </w:p>
        </w:tc>
        <w:tc>
          <w:tcPr>
            <w:tcW w:w="993" w:type="dxa"/>
            <w:tcBorders>
              <w:top w:val="nil"/>
              <w:left w:val="single" w:sz="4" w:space="0" w:color="auto"/>
              <w:bottom w:val="single" w:sz="4" w:space="0" w:color="auto"/>
              <w:right w:val="single" w:sz="4" w:space="0" w:color="auto"/>
            </w:tcBorders>
            <w:shd w:val="clear" w:color="auto" w:fill="auto"/>
            <w:hideMark/>
          </w:tcPr>
          <w:p w14:paraId="48F3C99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1BEEDAAB" w14:textId="77777777" w:rsidTr="007B1E31">
        <w:trPr>
          <w:trHeight w:val="300"/>
        </w:trPr>
        <w:tc>
          <w:tcPr>
            <w:tcW w:w="851" w:type="dxa"/>
            <w:tcBorders>
              <w:top w:val="nil"/>
              <w:left w:val="nil"/>
              <w:bottom w:val="nil"/>
              <w:right w:val="nil"/>
            </w:tcBorders>
            <w:shd w:val="clear" w:color="auto" w:fill="auto"/>
            <w:noWrap/>
            <w:vAlign w:val="center"/>
            <w:hideMark/>
          </w:tcPr>
          <w:p w14:paraId="07368F0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31ACBD9"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Autres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60B33C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R0180</w:t>
            </w:r>
          </w:p>
        </w:tc>
        <w:tc>
          <w:tcPr>
            <w:tcW w:w="993" w:type="dxa"/>
            <w:tcBorders>
              <w:top w:val="nil"/>
              <w:left w:val="single" w:sz="4" w:space="0" w:color="auto"/>
              <w:bottom w:val="single" w:sz="4" w:space="0" w:color="auto"/>
              <w:right w:val="single" w:sz="4" w:space="0" w:color="auto"/>
            </w:tcBorders>
            <w:shd w:val="clear" w:color="auto" w:fill="auto"/>
            <w:hideMark/>
          </w:tcPr>
          <w:p w14:paraId="36CE1B0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6811F4D4" w14:textId="77777777" w:rsidTr="007B1E31">
        <w:trPr>
          <w:trHeight w:val="300"/>
        </w:trPr>
        <w:tc>
          <w:tcPr>
            <w:tcW w:w="851" w:type="dxa"/>
            <w:tcBorders>
              <w:top w:val="nil"/>
              <w:left w:val="nil"/>
              <w:bottom w:val="nil"/>
              <w:right w:val="nil"/>
            </w:tcBorders>
            <w:shd w:val="clear" w:color="auto" w:fill="auto"/>
            <w:noWrap/>
            <w:vAlign w:val="center"/>
            <w:hideMark/>
          </w:tcPr>
          <w:p w14:paraId="35479BC7"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172FE9FA"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Réduction des prestations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42FD6A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5A4A1B9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20D4D51B" w14:textId="77777777" w:rsidTr="007B1E31">
        <w:trPr>
          <w:trHeight w:val="300"/>
        </w:trPr>
        <w:tc>
          <w:tcPr>
            <w:tcW w:w="851" w:type="dxa"/>
            <w:tcBorders>
              <w:top w:val="nil"/>
              <w:left w:val="nil"/>
              <w:bottom w:val="nil"/>
              <w:right w:val="nil"/>
            </w:tcBorders>
            <w:shd w:val="clear" w:color="auto" w:fill="auto"/>
            <w:noWrap/>
            <w:vAlign w:val="center"/>
            <w:hideMark/>
          </w:tcPr>
          <w:p w14:paraId="13EA5BF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0D691E9"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Due au défaut du sponsor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2A84B3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R0190</w:t>
            </w:r>
          </w:p>
        </w:tc>
        <w:tc>
          <w:tcPr>
            <w:tcW w:w="993" w:type="dxa"/>
            <w:tcBorders>
              <w:top w:val="nil"/>
              <w:left w:val="single" w:sz="4" w:space="0" w:color="auto"/>
              <w:bottom w:val="single" w:sz="4" w:space="0" w:color="auto"/>
              <w:right w:val="single" w:sz="4" w:space="0" w:color="auto"/>
            </w:tcBorders>
            <w:shd w:val="clear" w:color="auto" w:fill="auto"/>
            <w:hideMark/>
          </w:tcPr>
          <w:p w14:paraId="6D5995C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3FBE439C" w14:textId="77777777" w:rsidTr="007B1E31">
        <w:trPr>
          <w:trHeight w:val="300"/>
        </w:trPr>
        <w:tc>
          <w:tcPr>
            <w:tcW w:w="851" w:type="dxa"/>
            <w:tcBorders>
              <w:top w:val="nil"/>
              <w:left w:val="nil"/>
              <w:bottom w:val="nil"/>
              <w:right w:val="nil"/>
            </w:tcBorders>
            <w:shd w:val="clear" w:color="auto" w:fill="auto"/>
            <w:noWrap/>
            <w:vAlign w:val="center"/>
            <w:hideMark/>
          </w:tcPr>
          <w:p w14:paraId="20003B8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43F9B31E"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Réduction prestation / point ex post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D595B6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R0200</w:t>
            </w:r>
          </w:p>
        </w:tc>
        <w:tc>
          <w:tcPr>
            <w:tcW w:w="993" w:type="dxa"/>
            <w:tcBorders>
              <w:top w:val="nil"/>
              <w:left w:val="single" w:sz="4" w:space="0" w:color="auto"/>
              <w:bottom w:val="single" w:sz="4" w:space="0" w:color="auto"/>
              <w:right w:val="single" w:sz="4" w:space="0" w:color="auto"/>
            </w:tcBorders>
            <w:shd w:val="clear" w:color="auto" w:fill="auto"/>
            <w:hideMark/>
          </w:tcPr>
          <w:p w14:paraId="4813EED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3A7AF995" w14:textId="77777777" w:rsidTr="007B1E31">
        <w:trPr>
          <w:trHeight w:val="300"/>
        </w:trPr>
        <w:tc>
          <w:tcPr>
            <w:tcW w:w="851" w:type="dxa"/>
            <w:tcBorders>
              <w:top w:val="nil"/>
              <w:left w:val="nil"/>
              <w:bottom w:val="nil"/>
              <w:right w:val="nil"/>
            </w:tcBorders>
            <w:shd w:val="clear" w:color="auto" w:fill="auto"/>
            <w:noWrap/>
            <w:vAlign w:val="center"/>
            <w:hideMark/>
          </w:tcPr>
          <w:p w14:paraId="0134968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97FB798"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Réduction de la prestation / point ex ante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3B33A6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R0210</w:t>
            </w:r>
          </w:p>
        </w:tc>
        <w:tc>
          <w:tcPr>
            <w:tcW w:w="993" w:type="dxa"/>
            <w:tcBorders>
              <w:top w:val="nil"/>
              <w:left w:val="single" w:sz="4" w:space="0" w:color="auto"/>
              <w:bottom w:val="single" w:sz="4" w:space="0" w:color="auto"/>
              <w:right w:val="single" w:sz="4" w:space="0" w:color="auto"/>
            </w:tcBorders>
            <w:shd w:val="clear" w:color="auto" w:fill="auto"/>
            <w:hideMark/>
          </w:tcPr>
          <w:p w14:paraId="5DD4743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AFD851F" w14:textId="77777777" w:rsidTr="007B1E31">
        <w:trPr>
          <w:trHeight w:val="300"/>
        </w:trPr>
        <w:tc>
          <w:tcPr>
            <w:tcW w:w="851" w:type="dxa"/>
            <w:tcBorders>
              <w:top w:val="nil"/>
              <w:left w:val="nil"/>
              <w:bottom w:val="nil"/>
              <w:right w:val="nil"/>
            </w:tcBorders>
            <w:shd w:val="clear" w:color="auto" w:fill="auto"/>
            <w:noWrap/>
            <w:vAlign w:val="center"/>
            <w:hideMark/>
          </w:tcPr>
          <w:p w14:paraId="1AC5AB4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C48E769" w14:textId="77777777" w:rsidR="000763C3" w:rsidRPr="007B1E31" w:rsidRDefault="000763C3" w:rsidP="000763C3">
            <w:pPr>
              <w:spacing w:after="0" w:line="240" w:lineRule="auto"/>
              <w:ind w:firstLineChars="200" w:firstLine="4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Autre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3E2837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R0220</w:t>
            </w:r>
          </w:p>
        </w:tc>
        <w:tc>
          <w:tcPr>
            <w:tcW w:w="993" w:type="dxa"/>
            <w:tcBorders>
              <w:top w:val="nil"/>
              <w:left w:val="single" w:sz="4" w:space="0" w:color="auto"/>
              <w:bottom w:val="single" w:sz="4" w:space="0" w:color="auto"/>
              <w:right w:val="single" w:sz="4" w:space="0" w:color="auto"/>
            </w:tcBorders>
            <w:shd w:val="clear" w:color="auto" w:fill="auto"/>
            <w:hideMark/>
          </w:tcPr>
          <w:p w14:paraId="23D9F0F4"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09EA8AA3" w14:textId="77777777" w:rsidTr="007B1E31">
        <w:trPr>
          <w:trHeight w:val="600"/>
        </w:trPr>
        <w:tc>
          <w:tcPr>
            <w:tcW w:w="851" w:type="dxa"/>
            <w:tcBorders>
              <w:top w:val="nil"/>
              <w:left w:val="nil"/>
              <w:bottom w:val="nil"/>
              <w:right w:val="nil"/>
            </w:tcBorders>
            <w:shd w:val="clear" w:color="auto" w:fill="auto"/>
            <w:noWrap/>
            <w:vAlign w:val="center"/>
            <w:hideMark/>
          </w:tcPr>
          <w:p w14:paraId="6AE8F73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660C3B0"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Mécanisme de sécurisation contractuel propre au plan de retraite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93FEE2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R0230</w:t>
            </w:r>
          </w:p>
        </w:tc>
        <w:tc>
          <w:tcPr>
            <w:tcW w:w="993" w:type="dxa"/>
            <w:tcBorders>
              <w:top w:val="nil"/>
              <w:left w:val="single" w:sz="4" w:space="0" w:color="auto"/>
              <w:bottom w:val="single" w:sz="4" w:space="0" w:color="auto"/>
              <w:right w:val="single" w:sz="4" w:space="0" w:color="auto"/>
            </w:tcBorders>
            <w:shd w:val="clear" w:color="auto" w:fill="auto"/>
            <w:hideMark/>
          </w:tcPr>
          <w:p w14:paraId="34A06FB7"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6D94E454" w14:textId="77777777" w:rsidTr="007B1E31">
        <w:trPr>
          <w:trHeight w:val="300"/>
        </w:trPr>
        <w:tc>
          <w:tcPr>
            <w:tcW w:w="851" w:type="dxa"/>
            <w:tcBorders>
              <w:top w:val="nil"/>
              <w:left w:val="nil"/>
              <w:bottom w:val="nil"/>
              <w:right w:val="nil"/>
            </w:tcBorders>
            <w:shd w:val="clear" w:color="auto" w:fill="auto"/>
            <w:noWrap/>
            <w:vAlign w:val="center"/>
            <w:hideMark/>
          </w:tcPr>
          <w:p w14:paraId="05D549D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627D65AF" w14:textId="77777777" w:rsidR="000763C3" w:rsidRPr="007B1E31" w:rsidRDefault="000763C3" w:rsidP="000763C3">
            <w:pPr>
              <w:spacing w:after="0" w:line="240" w:lineRule="auto"/>
              <w:rPr>
                <w:rFonts w:ascii="Times New Roman" w:eastAsia="Times New Roman" w:hAnsi="Times New Roman" w:cs="Times New Roman"/>
                <w:b/>
                <w:bCs/>
                <w:sz w:val="20"/>
                <w:szCs w:val="20"/>
                <w:lang w:eastAsia="fr-FR"/>
              </w:rPr>
            </w:pPr>
            <w:r w:rsidRPr="007B1E31">
              <w:rPr>
                <w:rFonts w:ascii="Times New Roman" w:eastAsia="Times New Roman" w:hAnsi="Times New Roman" w:cs="Times New Roman"/>
                <w:b/>
                <w:bCs/>
                <w:sz w:val="20"/>
                <w:szCs w:val="20"/>
                <w:lang w:eastAsia="fr-FR"/>
              </w:rPr>
              <w:t>Information financière du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B2E27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0CA69453"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0FC3C195" w14:textId="77777777" w:rsidTr="007B1E31">
        <w:trPr>
          <w:trHeight w:val="300"/>
        </w:trPr>
        <w:tc>
          <w:tcPr>
            <w:tcW w:w="851" w:type="dxa"/>
            <w:tcBorders>
              <w:top w:val="nil"/>
              <w:left w:val="nil"/>
              <w:bottom w:val="nil"/>
              <w:right w:val="nil"/>
            </w:tcBorders>
            <w:shd w:val="clear" w:color="auto" w:fill="auto"/>
            <w:noWrap/>
            <w:vAlign w:val="center"/>
            <w:hideMark/>
          </w:tcPr>
          <w:p w14:paraId="040862D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0C5143E"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Engagements restant au bilan du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3A68091"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R0240</w:t>
            </w:r>
          </w:p>
        </w:tc>
        <w:tc>
          <w:tcPr>
            <w:tcW w:w="993" w:type="dxa"/>
            <w:tcBorders>
              <w:top w:val="nil"/>
              <w:left w:val="single" w:sz="4" w:space="0" w:color="auto"/>
              <w:bottom w:val="single" w:sz="4" w:space="0" w:color="auto"/>
              <w:right w:val="single" w:sz="4" w:space="0" w:color="auto"/>
            </w:tcBorders>
            <w:shd w:val="clear" w:color="auto" w:fill="auto"/>
            <w:hideMark/>
          </w:tcPr>
          <w:p w14:paraId="159EFFB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39129E33" w14:textId="77777777" w:rsidTr="007B1E31">
        <w:trPr>
          <w:trHeight w:val="300"/>
        </w:trPr>
        <w:tc>
          <w:tcPr>
            <w:tcW w:w="851" w:type="dxa"/>
            <w:tcBorders>
              <w:top w:val="nil"/>
              <w:left w:val="nil"/>
              <w:bottom w:val="nil"/>
              <w:right w:val="nil"/>
            </w:tcBorders>
            <w:shd w:val="clear" w:color="auto" w:fill="auto"/>
            <w:noWrap/>
            <w:vAlign w:val="center"/>
            <w:hideMark/>
          </w:tcPr>
          <w:p w14:paraId="63E61EE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E3CA9D0"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Droits du sponsor à récupérer des fonds</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84B49E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R0250</w:t>
            </w:r>
          </w:p>
        </w:tc>
        <w:tc>
          <w:tcPr>
            <w:tcW w:w="993" w:type="dxa"/>
            <w:tcBorders>
              <w:top w:val="nil"/>
              <w:left w:val="single" w:sz="4" w:space="0" w:color="auto"/>
              <w:bottom w:val="single" w:sz="4" w:space="0" w:color="auto"/>
              <w:right w:val="single" w:sz="4" w:space="0" w:color="auto"/>
            </w:tcBorders>
            <w:shd w:val="clear" w:color="auto" w:fill="auto"/>
            <w:hideMark/>
          </w:tcPr>
          <w:p w14:paraId="0B5E3B3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FE2883A" w14:textId="77777777" w:rsidTr="007B1E31">
        <w:trPr>
          <w:trHeight w:val="300"/>
        </w:trPr>
        <w:tc>
          <w:tcPr>
            <w:tcW w:w="851" w:type="dxa"/>
            <w:tcBorders>
              <w:top w:val="nil"/>
              <w:left w:val="nil"/>
              <w:bottom w:val="nil"/>
              <w:right w:val="nil"/>
            </w:tcBorders>
            <w:shd w:val="clear" w:color="auto" w:fill="auto"/>
            <w:noWrap/>
            <w:vAlign w:val="center"/>
            <w:hideMark/>
          </w:tcPr>
          <w:p w14:paraId="1A4BCF9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69687FA4" w14:textId="114572C0" w:rsidR="000763C3" w:rsidRPr="007B1E31" w:rsidRDefault="000763C3">
            <w:pPr>
              <w:spacing w:after="0" w:line="240" w:lineRule="auto"/>
              <w:rPr>
                <w:rFonts w:ascii="Times New Roman" w:eastAsia="Times New Roman" w:hAnsi="Times New Roman" w:cs="Times New Roman"/>
                <w:b/>
                <w:bCs/>
                <w:sz w:val="20"/>
                <w:szCs w:val="20"/>
                <w:lang w:eastAsia="fr-FR"/>
              </w:rPr>
            </w:pPr>
            <w:r w:rsidRPr="007B1E31">
              <w:rPr>
                <w:rFonts w:ascii="Times New Roman" w:eastAsia="Times New Roman" w:hAnsi="Times New Roman" w:cs="Times New Roman"/>
                <w:b/>
                <w:bCs/>
                <w:sz w:val="20"/>
                <w:szCs w:val="20"/>
                <w:lang w:eastAsia="fr-FR"/>
              </w:rPr>
              <w:t xml:space="preserve">Exemption de la part </w:t>
            </w:r>
            <w:r w:rsidR="001D2184">
              <w:rPr>
                <w:rFonts w:ascii="Times New Roman" w:eastAsia="Times New Roman" w:hAnsi="Times New Roman" w:cs="Times New Roman"/>
                <w:b/>
                <w:bCs/>
                <w:sz w:val="20"/>
                <w:szCs w:val="20"/>
                <w:lang w:eastAsia="fr-FR"/>
              </w:rPr>
              <w:t>l’</w:t>
            </w:r>
            <w:r w:rsidR="001D2184" w:rsidRPr="001D2184">
              <w:rPr>
                <w:rFonts w:ascii="Times New Roman" w:eastAsia="Times New Roman" w:hAnsi="Times New Roman" w:cs="Times New Roman"/>
                <w:b/>
                <w:bCs/>
                <w:sz w:val="20"/>
                <w:szCs w:val="20"/>
                <w:lang w:eastAsia="fr-FR"/>
              </w:rPr>
              <w:t>autorité de contrôle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8F5ACF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33F95945"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4FC6B72A" w14:textId="77777777" w:rsidTr="007B1E31">
        <w:trPr>
          <w:trHeight w:val="300"/>
        </w:trPr>
        <w:tc>
          <w:tcPr>
            <w:tcW w:w="851" w:type="dxa"/>
            <w:tcBorders>
              <w:top w:val="nil"/>
              <w:left w:val="nil"/>
              <w:bottom w:val="nil"/>
              <w:right w:val="nil"/>
            </w:tcBorders>
            <w:shd w:val="clear" w:color="auto" w:fill="auto"/>
            <w:noWrap/>
            <w:vAlign w:val="center"/>
            <w:hideMark/>
          </w:tcPr>
          <w:p w14:paraId="309102F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462ACAB7"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xml:space="preserve">Exemption de l’ORPS par le biais de EIOPA </w:t>
            </w:r>
            <w:proofErr w:type="spellStart"/>
            <w:r w:rsidRPr="007B1E31">
              <w:rPr>
                <w:rFonts w:ascii="Times New Roman" w:eastAsia="Times New Roman" w:hAnsi="Times New Roman" w:cs="Times New Roman"/>
                <w:sz w:val="20"/>
                <w:szCs w:val="20"/>
                <w:lang w:eastAsia="fr-FR"/>
              </w:rPr>
              <w:t>BoS</w:t>
            </w:r>
            <w:proofErr w:type="spellEnd"/>
            <w:r w:rsidRPr="007B1E31">
              <w:rPr>
                <w:rFonts w:ascii="Times New Roman" w:eastAsia="Times New Roman" w:hAnsi="Times New Roman" w:cs="Times New Roman"/>
                <w:sz w:val="20"/>
                <w:szCs w:val="20"/>
                <w:lang w:eastAsia="fr-FR"/>
              </w:rPr>
              <w:t>/18 114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2AFAF49"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ER0255</w:t>
            </w:r>
          </w:p>
        </w:tc>
        <w:tc>
          <w:tcPr>
            <w:tcW w:w="993" w:type="dxa"/>
            <w:tcBorders>
              <w:top w:val="nil"/>
              <w:left w:val="single" w:sz="4" w:space="0" w:color="auto"/>
              <w:bottom w:val="single" w:sz="4" w:space="0" w:color="auto"/>
              <w:right w:val="single" w:sz="4" w:space="0" w:color="auto"/>
            </w:tcBorders>
            <w:shd w:val="clear" w:color="auto" w:fill="auto"/>
            <w:hideMark/>
          </w:tcPr>
          <w:p w14:paraId="58E4776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4F625EE3" w14:textId="77777777" w:rsidTr="007B1E31">
        <w:trPr>
          <w:trHeight w:val="600"/>
        </w:trPr>
        <w:tc>
          <w:tcPr>
            <w:tcW w:w="851" w:type="dxa"/>
            <w:tcBorders>
              <w:top w:val="nil"/>
              <w:left w:val="nil"/>
              <w:bottom w:val="nil"/>
              <w:right w:val="nil"/>
            </w:tcBorders>
            <w:shd w:val="clear" w:color="auto" w:fill="auto"/>
            <w:noWrap/>
            <w:vAlign w:val="center"/>
            <w:hideMark/>
          </w:tcPr>
          <w:p w14:paraId="156D97E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86A5EDA" w14:textId="77777777" w:rsidR="000763C3" w:rsidRPr="007B1E31" w:rsidRDefault="000763C3" w:rsidP="000763C3">
            <w:pPr>
              <w:spacing w:after="0" w:line="240" w:lineRule="auto"/>
              <w:ind w:firstLineChars="100" w:firstLine="200"/>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Exemption BCE   par le biais du règlement BCE  ECB/2018/2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3C59F6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ER0256</w:t>
            </w:r>
          </w:p>
        </w:tc>
        <w:tc>
          <w:tcPr>
            <w:tcW w:w="993" w:type="dxa"/>
            <w:tcBorders>
              <w:top w:val="nil"/>
              <w:left w:val="single" w:sz="4" w:space="0" w:color="auto"/>
              <w:bottom w:val="single" w:sz="4" w:space="0" w:color="auto"/>
              <w:right w:val="single" w:sz="4" w:space="0" w:color="auto"/>
            </w:tcBorders>
            <w:shd w:val="clear" w:color="auto" w:fill="auto"/>
            <w:hideMark/>
          </w:tcPr>
          <w:p w14:paraId="1F81BDFD"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7BF1490F" w14:textId="77777777" w:rsidTr="007B1E31">
        <w:trPr>
          <w:trHeight w:val="300"/>
        </w:trPr>
        <w:tc>
          <w:tcPr>
            <w:tcW w:w="851" w:type="dxa"/>
            <w:tcBorders>
              <w:top w:val="nil"/>
              <w:left w:val="nil"/>
              <w:bottom w:val="nil"/>
              <w:right w:val="nil"/>
            </w:tcBorders>
            <w:shd w:val="clear" w:color="auto" w:fill="auto"/>
            <w:noWrap/>
            <w:vAlign w:val="center"/>
            <w:hideMark/>
          </w:tcPr>
          <w:p w14:paraId="0BDF0B5A"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6C329DB" w14:textId="77777777" w:rsidR="000763C3" w:rsidRPr="007B1E31" w:rsidRDefault="000763C3" w:rsidP="000763C3">
            <w:pPr>
              <w:spacing w:after="0" w:line="240" w:lineRule="auto"/>
              <w:rPr>
                <w:rFonts w:ascii="Times New Roman" w:eastAsia="Times New Roman" w:hAnsi="Times New Roman" w:cs="Times New Roman"/>
                <w:color w:val="000000"/>
                <w:sz w:val="20"/>
                <w:szCs w:val="20"/>
                <w:lang w:eastAsia="fr-FR"/>
              </w:rPr>
            </w:pPr>
            <w:proofErr w:type="spellStart"/>
            <w:r w:rsidRPr="007B1E31">
              <w:rPr>
                <w:rFonts w:ascii="Times New Roman" w:eastAsia="Times New Roman" w:hAnsi="Times New Roman" w:cs="Times New Roman"/>
                <w:color w:val="000000"/>
                <w:sz w:val="20"/>
                <w:szCs w:val="20"/>
                <w:lang w:eastAsia="fr-FR"/>
              </w:rPr>
              <w:t>Reporting</w:t>
            </w:r>
            <w:proofErr w:type="spellEnd"/>
            <w:r w:rsidRPr="007B1E31">
              <w:rPr>
                <w:rFonts w:ascii="Times New Roman" w:eastAsia="Times New Roman" w:hAnsi="Times New Roman" w:cs="Times New Roman"/>
                <w:color w:val="000000"/>
                <w:sz w:val="20"/>
                <w:szCs w:val="20"/>
                <w:lang w:eastAsia="fr-FR"/>
              </w:rPr>
              <w:t xml:space="preserve"> PEPP</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82965D8" w14:textId="77777777" w:rsidR="000763C3" w:rsidRPr="007B1E31" w:rsidRDefault="000763C3" w:rsidP="000763C3">
            <w:pPr>
              <w:spacing w:after="0" w:line="240" w:lineRule="auto"/>
              <w:jc w:val="center"/>
              <w:rPr>
                <w:rFonts w:ascii="Times New Roman" w:eastAsia="Times New Roman" w:hAnsi="Times New Roman" w:cs="Times New Roman"/>
                <w:color w:val="000000"/>
                <w:sz w:val="20"/>
                <w:szCs w:val="20"/>
                <w:lang w:eastAsia="fr-FR"/>
              </w:rPr>
            </w:pPr>
            <w:r w:rsidRPr="007B1E31">
              <w:rPr>
                <w:rFonts w:ascii="Times New Roman" w:eastAsia="Times New Roman" w:hAnsi="Times New Roman" w:cs="Times New Roman"/>
                <w:color w:val="000000"/>
                <w:sz w:val="20"/>
                <w:szCs w:val="20"/>
                <w:lang w:eastAsia="fr-FR"/>
              </w:rPr>
              <w:t>R0600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3734B42F"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45673D57" w14:textId="77777777" w:rsidTr="007B1E31">
        <w:trPr>
          <w:trHeight w:val="300"/>
        </w:trPr>
        <w:tc>
          <w:tcPr>
            <w:tcW w:w="851" w:type="dxa"/>
            <w:tcBorders>
              <w:top w:val="nil"/>
              <w:left w:val="nil"/>
              <w:bottom w:val="nil"/>
              <w:right w:val="nil"/>
            </w:tcBorders>
            <w:shd w:val="clear" w:color="auto" w:fill="auto"/>
            <w:noWrap/>
            <w:vAlign w:val="center"/>
            <w:hideMark/>
          </w:tcPr>
          <w:p w14:paraId="728CCA6B"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1E3E6262" w14:textId="77777777" w:rsidR="000763C3" w:rsidRPr="007B1E31" w:rsidRDefault="000763C3" w:rsidP="000763C3">
            <w:pPr>
              <w:spacing w:after="0" w:line="240" w:lineRule="auto"/>
              <w:rPr>
                <w:rFonts w:ascii="Times New Roman" w:eastAsia="Times New Roman" w:hAnsi="Times New Roman" w:cs="Times New Roman"/>
                <w:sz w:val="20"/>
                <w:szCs w:val="20"/>
                <w:lang w:val="en-GB" w:eastAsia="fr-FR"/>
              </w:rPr>
            </w:pPr>
            <w:r w:rsidRPr="007B1E31">
              <w:rPr>
                <w:rFonts w:ascii="Times New Roman" w:eastAsia="Times New Roman" w:hAnsi="Times New Roman" w:cs="Times New Roman"/>
                <w:sz w:val="20"/>
                <w:szCs w:val="20"/>
                <w:lang w:val="en-GB" w:eastAsia="fr-FR"/>
              </w:rPr>
              <w:t>Ad hoc XBRL technical field 1</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5A5118A6"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R0990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742B8A5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6BD7871D" w14:textId="77777777" w:rsidTr="007B1E31">
        <w:trPr>
          <w:trHeight w:val="300"/>
        </w:trPr>
        <w:tc>
          <w:tcPr>
            <w:tcW w:w="851" w:type="dxa"/>
            <w:tcBorders>
              <w:top w:val="nil"/>
              <w:left w:val="nil"/>
              <w:bottom w:val="nil"/>
              <w:right w:val="nil"/>
            </w:tcBorders>
            <w:shd w:val="clear" w:color="auto" w:fill="auto"/>
            <w:noWrap/>
            <w:vAlign w:val="center"/>
            <w:hideMark/>
          </w:tcPr>
          <w:p w14:paraId="24A917B0"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5FE6FB1" w14:textId="77777777" w:rsidR="000763C3" w:rsidRPr="007B1E31" w:rsidRDefault="000763C3" w:rsidP="000763C3">
            <w:pPr>
              <w:spacing w:after="0" w:line="240" w:lineRule="auto"/>
              <w:rPr>
                <w:rFonts w:ascii="Times New Roman" w:eastAsia="Times New Roman" w:hAnsi="Times New Roman" w:cs="Times New Roman"/>
                <w:sz w:val="20"/>
                <w:szCs w:val="20"/>
                <w:lang w:val="en-GB" w:eastAsia="fr-FR"/>
              </w:rPr>
            </w:pPr>
            <w:r w:rsidRPr="007B1E31">
              <w:rPr>
                <w:rFonts w:ascii="Times New Roman" w:eastAsia="Times New Roman" w:hAnsi="Times New Roman" w:cs="Times New Roman"/>
                <w:sz w:val="20"/>
                <w:szCs w:val="20"/>
                <w:lang w:val="en-GB" w:eastAsia="fr-FR"/>
              </w:rPr>
              <w:t>Ad hoc XBRL technical field 2</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0D0F87F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R0991</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27E0883E"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r w:rsidR="000763C3" w:rsidRPr="000763C3" w14:paraId="373CE7BA" w14:textId="77777777" w:rsidTr="007B1E31">
        <w:trPr>
          <w:trHeight w:val="300"/>
        </w:trPr>
        <w:tc>
          <w:tcPr>
            <w:tcW w:w="851" w:type="dxa"/>
            <w:tcBorders>
              <w:top w:val="nil"/>
              <w:left w:val="nil"/>
              <w:bottom w:val="nil"/>
              <w:right w:val="nil"/>
            </w:tcBorders>
            <w:shd w:val="clear" w:color="auto" w:fill="auto"/>
            <w:noWrap/>
            <w:vAlign w:val="center"/>
            <w:hideMark/>
          </w:tcPr>
          <w:p w14:paraId="46676682"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7D4768D" w14:textId="77777777" w:rsidR="000763C3" w:rsidRPr="007B1E31" w:rsidRDefault="000763C3" w:rsidP="000763C3">
            <w:pPr>
              <w:spacing w:after="0" w:line="240" w:lineRule="auto"/>
              <w:rPr>
                <w:rFonts w:ascii="Times New Roman" w:eastAsia="Times New Roman" w:hAnsi="Times New Roman" w:cs="Times New Roman"/>
                <w:sz w:val="20"/>
                <w:szCs w:val="20"/>
                <w:lang w:val="en-GB" w:eastAsia="fr-FR"/>
              </w:rPr>
            </w:pPr>
            <w:r w:rsidRPr="007B1E31">
              <w:rPr>
                <w:rFonts w:ascii="Times New Roman" w:eastAsia="Times New Roman" w:hAnsi="Times New Roman" w:cs="Times New Roman"/>
                <w:sz w:val="20"/>
                <w:szCs w:val="20"/>
                <w:lang w:val="en-GB" w:eastAsia="fr-FR"/>
              </w:rPr>
              <w:t>Ad hoc XBRL technical field 3</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7CD4B338"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R0992</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06EC6DCC" w14:textId="77777777" w:rsidR="000763C3" w:rsidRPr="007B1E31" w:rsidRDefault="000763C3" w:rsidP="000763C3">
            <w:pPr>
              <w:spacing w:after="0" w:line="240" w:lineRule="auto"/>
              <w:jc w:val="center"/>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 </w:t>
            </w:r>
          </w:p>
        </w:tc>
      </w:tr>
    </w:tbl>
    <w:p w14:paraId="78C5D721" w14:textId="77777777" w:rsidR="000763C3" w:rsidRPr="00B5069A" w:rsidRDefault="000763C3" w:rsidP="00611F68">
      <w:pPr>
        <w:spacing w:after="0" w:line="240" w:lineRule="auto"/>
        <w:jc w:val="center"/>
        <w:rPr>
          <w:rFonts w:ascii="Garamond" w:eastAsia="Times New Roman" w:hAnsi="Garamond" w:cs="Times New Roman"/>
          <w:b/>
          <w:color w:val="003B8E"/>
          <w:lang w:eastAsia="fr-FR"/>
        </w:rPr>
      </w:pPr>
    </w:p>
    <w:tbl>
      <w:tblPr>
        <w:tblW w:w="9072" w:type="dxa"/>
        <w:tblLayout w:type="fixed"/>
        <w:tblCellMar>
          <w:left w:w="70" w:type="dxa"/>
          <w:right w:w="70" w:type="dxa"/>
        </w:tblCellMar>
        <w:tblLook w:val="04A0" w:firstRow="1" w:lastRow="0" w:firstColumn="1" w:lastColumn="0" w:noHBand="0" w:noVBand="1"/>
      </w:tblPr>
      <w:tblGrid>
        <w:gridCol w:w="567"/>
        <w:gridCol w:w="2268"/>
        <w:gridCol w:w="1560"/>
        <w:gridCol w:w="1701"/>
        <w:gridCol w:w="2976"/>
      </w:tblGrid>
      <w:tr w:rsidR="000763C3" w:rsidRPr="000763C3" w14:paraId="11ECC017" w14:textId="77777777" w:rsidTr="007B1E31">
        <w:trPr>
          <w:trHeight w:val="300"/>
        </w:trPr>
        <w:tc>
          <w:tcPr>
            <w:tcW w:w="2835" w:type="dxa"/>
            <w:gridSpan w:val="2"/>
            <w:tcBorders>
              <w:top w:val="nil"/>
              <w:left w:val="nil"/>
              <w:bottom w:val="nil"/>
              <w:right w:val="nil"/>
            </w:tcBorders>
            <w:shd w:val="clear" w:color="auto" w:fill="auto"/>
            <w:noWrap/>
            <w:vAlign w:val="bottom"/>
            <w:hideMark/>
          </w:tcPr>
          <w:p w14:paraId="71AA182C" w14:textId="77777777" w:rsidR="000763C3" w:rsidRPr="000763C3" w:rsidRDefault="000763C3" w:rsidP="000763C3">
            <w:pPr>
              <w:spacing w:after="0" w:line="240" w:lineRule="auto"/>
              <w:rPr>
                <w:rFonts w:ascii="Calibri" w:eastAsia="Times New Roman" w:hAnsi="Calibri" w:cs="Calibri"/>
                <w:b/>
                <w:bCs/>
                <w:color w:val="FF0000"/>
                <w:lang w:eastAsia="fr-FR"/>
              </w:rPr>
            </w:pPr>
            <w:r w:rsidRPr="000763C3">
              <w:rPr>
                <w:rFonts w:ascii="Calibri" w:eastAsia="Times New Roman" w:hAnsi="Calibri" w:cs="Calibri"/>
                <w:b/>
                <w:bCs/>
                <w:color w:val="FF0000"/>
                <w:lang w:eastAsia="fr-FR"/>
              </w:rPr>
              <w:t>PFE.01.02.30.02</w:t>
            </w:r>
          </w:p>
        </w:tc>
        <w:tc>
          <w:tcPr>
            <w:tcW w:w="1560" w:type="dxa"/>
            <w:tcBorders>
              <w:top w:val="nil"/>
              <w:left w:val="nil"/>
              <w:bottom w:val="nil"/>
              <w:right w:val="nil"/>
            </w:tcBorders>
            <w:shd w:val="clear" w:color="auto" w:fill="auto"/>
            <w:noWrap/>
            <w:vAlign w:val="bottom"/>
            <w:hideMark/>
          </w:tcPr>
          <w:p w14:paraId="256E3C1C" w14:textId="77777777" w:rsidR="000763C3" w:rsidRPr="000763C3" w:rsidRDefault="000763C3" w:rsidP="000763C3">
            <w:pPr>
              <w:spacing w:after="0" w:line="240" w:lineRule="auto"/>
              <w:rPr>
                <w:rFonts w:ascii="Calibri" w:eastAsia="Times New Roman" w:hAnsi="Calibri" w:cs="Calibri"/>
                <w:b/>
                <w:bCs/>
                <w:color w:val="FF0000"/>
                <w:lang w:eastAsia="fr-FR"/>
              </w:rPr>
            </w:pPr>
          </w:p>
        </w:tc>
        <w:tc>
          <w:tcPr>
            <w:tcW w:w="1701" w:type="dxa"/>
            <w:tcBorders>
              <w:top w:val="nil"/>
              <w:left w:val="nil"/>
              <w:bottom w:val="nil"/>
              <w:right w:val="nil"/>
            </w:tcBorders>
            <w:shd w:val="clear" w:color="auto" w:fill="auto"/>
            <w:noWrap/>
            <w:vAlign w:val="bottom"/>
            <w:hideMark/>
          </w:tcPr>
          <w:p w14:paraId="1104B5D9"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2976" w:type="dxa"/>
            <w:tcBorders>
              <w:top w:val="nil"/>
              <w:left w:val="nil"/>
              <w:bottom w:val="nil"/>
              <w:right w:val="nil"/>
            </w:tcBorders>
            <w:shd w:val="clear" w:color="auto" w:fill="auto"/>
            <w:noWrap/>
            <w:vAlign w:val="bottom"/>
            <w:hideMark/>
          </w:tcPr>
          <w:p w14:paraId="7CC0F7BB" w14:textId="77777777" w:rsidR="000763C3" w:rsidRPr="000763C3" w:rsidRDefault="000763C3" w:rsidP="000763C3">
            <w:pPr>
              <w:spacing w:after="0" w:line="240" w:lineRule="auto"/>
              <w:jc w:val="right"/>
              <w:rPr>
                <w:rFonts w:ascii="Times New Roman" w:eastAsia="Times New Roman" w:hAnsi="Times New Roman" w:cs="Times New Roman"/>
                <w:sz w:val="20"/>
                <w:szCs w:val="20"/>
                <w:lang w:eastAsia="fr-FR"/>
              </w:rPr>
            </w:pPr>
          </w:p>
        </w:tc>
      </w:tr>
      <w:tr w:rsidR="000763C3" w:rsidRPr="000763C3" w14:paraId="0D3684F6" w14:textId="77777777" w:rsidTr="007B1E31">
        <w:trPr>
          <w:trHeight w:val="300"/>
        </w:trPr>
        <w:tc>
          <w:tcPr>
            <w:tcW w:w="2835" w:type="dxa"/>
            <w:gridSpan w:val="2"/>
            <w:tcBorders>
              <w:top w:val="nil"/>
              <w:left w:val="nil"/>
              <w:bottom w:val="nil"/>
              <w:right w:val="nil"/>
            </w:tcBorders>
            <w:shd w:val="clear" w:color="auto" w:fill="auto"/>
            <w:noWrap/>
            <w:vAlign w:val="bottom"/>
            <w:hideMark/>
          </w:tcPr>
          <w:p w14:paraId="4291EF46" w14:textId="77777777" w:rsidR="000763C3" w:rsidRPr="000763C3" w:rsidRDefault="000763C3" w:rsidP="000763C3">
            <w:pPr>
              <w:spacing w:after="0" w:line="240" w:lineRule="auto"/>
              <w:rPr>
                <w:rFonts w:ascii="Calibri" w:eastAsia="Times New Roman" w:hAnsi="Calibri" w:cs="Calibri"/>
                <w:b/>
                <w:bCs/>
                <w:lang w:eastAsia="fr-FR"/>
              </w:rPr>
            </w:pPr>
            <w:r w:rsidRPr="000763C3">
              <w:rPr>
                <w:rFonts w:ascii="Calibri" w:eastAsia="Times New Roman" w:hAnsi="Calibri" w:cs="Calibri"/>
                <w:b/>
                <w:bCs/>
                <w:lang w:eastAsia="fr-FR"/>
              </w:rPr>
              <w:t>PEPP - Information générale</w:t>
            </w:r>
          </w:p>
        </w:tc>
        <w:tc>
          <w:tcPr>
            <w:tcW w:w="1560" w:type="dxa"/>
            <w:tcBorders>
              <w:top w:val="nil"/>
              <w:left w:val="nil"/>
              <w:bottom w:val="nil"/>
              <w:right w:val="nil"/>
            </w:tcBorders>
            <w:shd w:val="clear" w:color="auto" w:fill="auto"/>
            <w:vAlign w:val="bottom"/>
            <w:hideMark/>
          </w:tcPr>
          <w:p w14:paraId="73951DC1" w14:textId="77777777" w:rsidR="000763C3" w:rsidRPr="000763C3" w:rsidRDefault="000763C3" w:rsidP="000763C3">
            <w:pPr>
              <w:spacing w:after="0" w:line="240" w:lineRule="auto"/>
              <w:rPr>
                <w:rFonts w:ascii="Calibri" w:eastAsia="Times New Roman" w:hAnsi="Calibri" w:cs="Calibri"/>
                <w:b/>
                <w:bCs/>
                <w:lang w:eastAsia="fr-FR"/>
              </w:rPr>
            </w:pPr>
          </w:p>
        </w:tc>
        <w:tc>
          <w:tcPr>
            <w:tcW w:w="1701" w:type="dxa"/>
            <w:tcBorders>
              <w:top w:val="nil"/>
              <w:left w:val="nil"/>
              <w:bottom w:val="nil"/>
              <w:right w:val="nil"/>
            </w:tcBorders>
            <w:shd w:val="clear" w:color="auto" w:fill="auto"/>
            <w:hideMark/>
          </w:tcPr>
          <w:p w14:paraId="3AA36056"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2976" w:type="dxa"/>
            <w:tcBorders>
              <w:top w:val="nil"/>
              <w:left w:val="nil"/>
              <w:bottom w:val="nil"/>
              <w:right w:val="nil"/>
            </w:tcBorders>
            <w:shd w:val="clear" w:color="auto" w:fill="auto"/>
            <w:noWrap/>
            <w:vAlign w:val="bottom"/>
            <w:hideMark/>
          </w:tcPr>
          <w:p w14:paraId="28B39A63" w14:textId="77777777" w:rsidR="000763C3" w:rsidRPr="000763C3" w:rsidRDefault="000763C3" w:rsidP="000763C3">
            <w:pPr>
              <w:spacing w:after="0" w:line="240" w:lineRule="auto"/>
              <w:jc w:val="center"/>
              <w:rPr>
                <w:rFonts w:ascii="Times New Roman" w:eastAsia="Times New Roman" w:hAnsi="Times New Roman" w:cs="Times New Roman"/>
                <w:sz w:val="20"/>
                <w:szCs w:val="20"/>
                <w:lang w:eastAsia="fr-FR"/>
              </w:rPr>
            </w:pPr>
          </w:p>
        </w:tc>
      </w:tr>
      <w:tr w:rsidR="000763C3" w:rsidRPr="000763C3" w14:paraId="65B7A3C9" w14:textId="77777777" w:rsidTr="007B1E31">
        <w:trPr>
          <w:trHeight w:val="300"/>
        </w:trPr>
        <w:tc>
          <w:tcPr>
            <w:tcW w:w="567" w:type="dxa"/>
            <w:tcBorders>
              <w:top w:val="nil"/>
              <w:left w:val="nil"/>
              <w:bottom w:val="nil"/>
              <w:right w:val="nil"/>
            </w:tcBorders>
            <w:shd w:val="clear" w:color="auto" w:fill="auto"/>
            <w:noWrap/>
            <w:vAlign w:val="center"/>
            <w:hideMark/>
          </w:tcPr>
          <w:p w14:paraId="7F977F4B"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2268" w:type="dxa"/>
            <w:tcBorders>
              <w:top w:val="nil"/>
              <w:left w:val="nil"/>
              <w:bottom w:val="nil"/>
              <w:right w:val="nil"/>
            </w:tcBorders>
            <w:shd w:val="clear" w:color="auto" w:fill="auto"/>
            <w:noWrap/>
            <w:vAlign w:val="center"/>
            <w:hideMark/>
          </w:tcPr>
          <w:p w14:paraId="71FB6DB5"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1560" w:type="dxa"/>
            <w:tcBorders>
              <w:top w:val="nil"/>
              <w:left w:val="nil"/>
              <w:bottom w:val="nil"/>
              <w:right w:val="nil"/>
            </w:tcBorders>
            <w:shd w:val="clear" w:color="auto" w:fill="auto"/>
            <w:noWrap/>
            <w:vAlign w:val="center"/>
            <w:hideMark/>
          </w:tcPr>
          <w:p w14:paraId="55ACB68F"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1701" w:type="dxa"/>
            <w:tcBorders>
              <w:top w:val="nil"/>
              <w:left w:val="nil"/>
              <w:bottom w:val="nil"/>
              <w:right w:val="nil"/>
            </w:tcBorders>
            <w:shd w:val="clear" w:color="auto" w:fill="auto"/>
            <w:noWrap/>
            <w:vAlign w:val="center"/>
            <w:hideMark/>
          </w:tcPr>
          <w:p w14:paraId="5DE464E3"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2976" w:type="dxa"/>
            <w:tcBorders>
              <w:top w:val="nil"/>
              <w:left w:val="nil"/>
              <w:bottom w:val="nil"/>
              <w:right w:val="nil"/>
            </w:tcBorders>
            <w:shd w:val="clear" w:color="auto" w:fill="auto"/>
            <w:noWrap/>
            <w:vAlign w:val="center"/>
            <w:hideMark/>
          </w:tcPr>
          <w:p w14:paraId="1DFF499C"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r>
      <w:tr w:rsidR="000763C3" w:rsidRPr="000763C3" w14:paraId="41FD46D2" w14:textId="77777777" w:rsidTr="007B1E31">
        <w:trPr>
          <w:trHeight w:val="600"/>
        </w:trPr>
        <w:tc>
          <w:tcPr>
            <w:tcW w:w="567" w:type="dxa"/>
            <w:tcBorders>
              <w:top w:val="nil"/>
              <w:left w:val="nil"/>
              <w:bottom w:val="nil"/>
              <w:right w:val="nil"/>
            </w:tcBorders>
            <w:shd w:val="clear" w:color="auto" w:fill="auto"/>
            <w:noWrap/>
            <w:vAlign w:val="center"/>
            <w:hideMark/>
          </w:tcPr>
          <w:p w14:paraId="5113461D" w14:textId="77777777" w:rsidR="000763C3" w:rsidRPr="000763C3" w:rsidRDefault="000763C3" w:rsidP="000763C3">
            <w:pPr>
              <w:spacing w:after="0" w:line="240" w:lineRule="auto"/>
              <w:rPr>
                <w:rFonts w:ascii="Times New Roman" w:eastAsia="Times New Roman" w:hAnsi="Times New Roman" w:cs="Times New Roman"/>
                <w:sz w:val="20"/>
                <w:szCs w:val="20"/>
                <w:lang w:eastAsia="fr-FR"/>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5962E"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Numéro d’enregistrement du PEPP</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0F6623" w14:textId="77777777" w:rsidR="000763C3" w:rsidRPr="000763C3" w:rsidRDefault="000763C3" w:rsidP="000763C3">
            <w:pPr>
              <w:spacing w:after="0" w:line="240" w:lineRule="auto"/>
              <w:jc w:val="center"/>
              <w:rPr>
                <w:rFonts w:ascii="Calibri" w:eastAsia="Times New Roman" w:hAnsi="Calibri" w:cs="Calibri"/>
                <w:lang w:eastAsia="fr-FR"/>
              </w:rPr>
            </w:pPr>
            <w:r w:rsidRPr="000763C3">
              <w:rPr>
                <w:rFonts w:ascii="Calibri" w:eastAsia="Times New Roman" w:hAnsi="Calibri" w:cs="Calibri"/>
                <w:lang w:eastAsia="fr-FR"/>
              </w:rPr>
              <w:t>Dénomination du PEPP</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E1744"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PEPP toujours commercialise?</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5F81A4"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Utilisation d’un pool commun d’actifs pour toutes les options d’investissement</w:t>
            </w:r>
          </w:p>
        </w:tc>
      </w:tr>
      <w:tr w:rsidR="000763C3" w:rsidRPr="000763C3" w14:paraId="43B93548" w14:textId="77777777" w:rsidTr="007B1E31">
        <w:trPr>
          <w:trHeight w:val="300"/>
        </w:trPr>
        <w:tc>
          <w:tcPr>
            <w:tcW w:w="567" w:type="dxa"/>
            <w:tcBorders>
              <w:top w:val="nil"/>
              <w:left w:val="nil"/>
              <w:bottom w:val="nil"/>
              <w:right w:val="nil"/>
            </w:tcBorders>
            <w:shd w:val="clear" w:color="auto" w:fill="auto"/>
            <w:noWrap/>
            <w:vAlign w:val="center"/>
            <w:hideMark/>
          </w:tcPr>
          <w:p w14:paraId="2C92C2C1" w14:textId="77777777" w:rsidR="000763C3" w:rsidRPr="000763C3" w:rsidRDefault="000763C3" w:rsidP="000763C3">
            <w:pPr>
              <w:spacing w:after="0" w:line="240" w:lineRule="auto"/>
              <w:jc w:val="center"/>
              <w:rPr>
                <w:rFonts w:ascii="Calibri" w:eastAsia="Times New Roman" w:hAnsi="Calibri" w:cs="Calibri"/>
                <w:color w:val="000000"/>
                <w:lang w:eastAsia="fr-FR"/>
              </w:rPr>
            </w:pPr>
          </w:p>
        </w:tc>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15461F23"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C0160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3E253DF5"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C0170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5C6BB58"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C0180</w:t>
            </w:r>
          </w:p>
        </w:tc>
        <w:tc>
          <w:tcPr>
            <w:tcW w:w="2976" w:type="dxa"/>
            <w:tcBorders>
              <w:top w:val="nil"/>
              <w:left w:val="single" w:sz="4" w:space="0" w:color="auto"/>
              <w:bottom w:val="single" w:sz="4" w:space="0" w:color="auto"/>
              <w:right w:val="single" w:sz="4" w:space="0" w:color="auto"/>
            </w:tcBorders>
            <w:shd w:val="clear" w:color="auto" w:fill="auto"/>
            <w:noWrap/>
            <w:vAlign w:val="center"/>
            <w:hideMark/>
          </w:tcPr>
          <w:p w14:paraId="240DE28E" w14:textId="77777777" w:rsidR="000763C3" w:rsidRPr="000763C3" w:rsidRDefault="000763C3" w:rsidP="000763C3">
            <w:pPr>
              <w:spacing w:after="0" w:line="240" w:lineRule="auto"/>
              <w:jc w:val="center"/>
              <w:rPr>
                <w:rFonts w:ascii="Calibri" w:eastAsia="Times New Roman" w:hAnsi="Calibri" w:cs="Calibri"/>
                <w:color w:val="000000"/>
                <w:lang w:eastAsia="fr-FR"/>
              </w:rPr>
            </w:pPr>
            <w:r w:rsidRPr="000763C3">
              <w:rPr>
                <w:rFonts w:ascii="Calibri" w:eastAsia="Times New Roman" w:hAnsi="Calibri" w:cs="Calibri"/>
                <w:color w:val="000000"/>
                <w:lang w:eastAsia="fr-FR"/>
              </w:rPr>
              <w:t>C0190</w:t>
            </w:r>
          </w:p>
        </w:tc>
      </w:tr>
      <w:tr w:rsidR="000763C3" w:rsidRPr="000763C3" w14:paraId="182DD93A" w14:textId="77777777" w:rsidTr="007B1E31">
        <w:trPr>
          <w:trHeight w:val="300"/>
        </w:trPr>
        <w:tc>
          <w:tcPr>
            <w:tcW w:w="567" w:type="dxa"/>
            <w:tcBorders>
              <w:top w:val="nil"/>
              <w:left w:val="nil"/>
              <w:bottom w:val="nil"/>
              <w:right w:val="nil"/>
            </w:tcBorders>
            <w:shd w:val="clear" w:color="auto" w:fill="auto"/>
            <w:noWrap/>
            <w:vAlign w:val="center"/>
            <w:hideMark/>
          </w:tcPr>
          <w:p w14:paraId="333DE0E0" w14:textId="77777777" w:rsidR="000763C3" w:rsidRPr="000763C3" w:rsidRDefault="000763C3" w:rsidP="000763C3">
            <w:pPr>
              <w:spacing w:after="0" w:line="240" w:lineRule="auto"/>
              <w:jc w:val="center"/>
              <w:rPr>
                <w:rFonts w:ascii="Calibri" w:eastAsia="Times New Roman" w:hAnsi="Calibri" w:cs="Calibri"/>
                <w:color w:val="000000"/>
                <w:lang w:eastAsia="fr-FR"/>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7E8C36B" w14:textId="77777777" w:rsidR="000763C3" w:rsidRPr="000763C3" w:rsidRDefault="000763C3" w:rsidP="000763C3">
            <w:pPr>
              <w:spacing w:after="0" w:line="240" w:lineRule="auto"/>
              <w:jc w:val="center"/>
              <w:rPr>
                <w:rFonts w:ascii="Calibri" w:eastAsia="Times New Roman" w:hAnsi="Calibri" w:cs="Calibri"/>
                <w:lang w:eastAsia="fr-FR"/>
              </w:rPr>
            </w:pPr>
            <w:r w:rsidRPr="000763C3">
              <w:rPr>
                <w:rFonts w:ascii="Calibri" w:eastAsia="Times New Roman" w:hAnsi="Calibri" w:cs="Calibri"/>
                <w:lang w:eastAsia="fr-FR"/>
              </w:rPr>
              <w:t>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79DDC1A" w14:textId="77777777" w:rsidR="000763C3" w:rsidRPr="000763C3" w:rsidRDefault="000763C3" w:rsidP="000763C3">
            <w:pPr>
              <w:spacing w:after="0" w:line="240" w:lineRule="auto"/>
              <w:jc w:val="center"/>
              <w:rPr>
                <w:rFonts w:ascii="Calibri" w:eastAsia="Times New Roman" w:hAnsi="Calibri" w:cs="Calibri"/>
                <w:lang w:eastAsia="fr-FR"/>
              </w:rPr>
            </w:pPr>
            <w:r w:rsidRPr="000763C3">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E11B16E" w14:textId="77777777" w:rsidR="000763C3" w:rsidRPr="000763C3" w:rsidRDefault="000763C3" w:rsidP="000763C3">
            <w:pPr>
              <w:spacing w:after="0" w:line="240" w:lineRule="auto"/>
              <w:jc w:val="center"/>
              <w:rPr>
                <w:rFonts w:ascii="Calibri" w:eastAsia="Times New Roman" w:hAnsi="Calibri" w:cs="Calibri"/>
                <w:lang w:eastAsia="fr-FR"/>
              </w:rPr>
            </w:pPr>
            <w:r w:rsidRPr="000763C3">
              <w:rPr>
                <w:rFonts w:ascii="Calibri" w:eastAsia="Times New Roman" w:hAnsi="Calibri" w:cs="Calibri"/>
                <w:lang w:eastAsia="fr-FR"/>
              </w:rPr>
              <w:t> </w:t>
            </w:r>
          </w:p>
        </w:tc>
        <w:tc>
          <w:tcPr>
            <w:tcW w:w="2976" w:type="dxa"/>
            <w:tcBorders>
              <w:top w:val="nil"/>
              <w:left w:val="single" w:sz="4" w:space="0" w:color="auto"/>
              <w:bottom w:val="single" w:sz="4" w:space="0" w:color="auto"/>
              <w:right w:val="single" w:sz="4" w:space="0" w:color="auto"/>
            </w:tcBorders>
            <w:shd w:val="clear" w:color="auto" w:fill="auto"/>
            <w:vAlign w:val="center"/>
            <w:hideMark/>
          </w:tcPr>
          <w:p w14:paraId="77D09695" w14:textId="77777777" w:rsidR="000763C3" w:rsidRPr="000763C3" w:rsidRDefault="000763C3" w:rsidP="000763C3">
            <w:pPr>
              <w:spacing w:after="0" w:line="240" w:lineRule="auto"/>
              <w:jc w:val="center"/>
              <w:rPr>
                <w:rFonts w:ascii="Calibri" w:eastAsia="Times New Roman" w:hAnsi="Calibri" w:cs="Calibri"/>
                <w:lang w:eastAsia="fr-FR"/>
              </w:rPr>
            </w:pPr>
            <w:r w:rsidRPr="000763C3">
              <w:rPr>
                <w:rFonts w:ascii="Calibri" w:eastAsia="Times New Roman" w:hAnsi="Calibri" w:cs="Calibri"/>
                <w:lang w:eastAsia="fr-FR"/>
              </w:rPr>
              <w:t> </w:t>
            </w:r>
          </w:p>
        </w:tc>
      </w:tr>
    </w:tbl>
    <w:p w14:paraId="7F154238" w14:textId="77777777" w:rsidR="00093F50" w:rsidRPr="00B5069A" w:rsidRDefault="00093F50" w:rsidP="007B1E31">
      <w:pPr>
        <w:spacing w:after="0" w:line="240" w:lineRule="auto"/>
        <w:rPr>
          <w:rFonts w:ascii="Garamond" w:eastAsia="Times New Roman" w:hAnsi="Garamond" w:cs="Times New Roman"/>
          <w:b/>
          <w:color w:val="003B8E"/>
          <w:lang w:eastAsia="fr-FR"/>
        </w:rPr>
      </w:pPr>
    </w:p>
    <w:p w14:paraId="6D9A50D5" w14:textId="77777777" w:rsidR="00093F50" w:rsidRPr="00B5069A" w:rsidRDefault="00093F50" w:rsidP="00611F68">
      <w:pPr>
        <w:spacing w:after="0" w:line="240" w:lineRule="auto"/>
        <w:jc w:val="center"/>
        <w:rPr>
          <w:rFonts w:ascii="Garamond" w:eastAsia="Times New Roman" w:hAnsi="Garamond" w:cs="Times New Roman"/>
          <w:b/>
          <w:color w:val="003B8E"/>
          <w:lang w:eastAsia="fr-FR"/>
        </w:rPr>
      </w:pPr>
    </w:p>
    <w:p w14:paraId="738D7985" w14:textId="304FDD15" w:rsidR="001128AB" w:rsidRDefault="001128AB" w:rsidP="00611F68">
      <w:pPr>
        <w:spacing w:after="0" w:line="240" w:lineRule="auto"/>
        <w:jc w:val="center"/>
        <w:rPr>
          <w:rFonts w:ascii="Garamond" w:eastAsia="Times New Roman" w:hAnsi="Garamond" w:cs="Times New Roman"/>
          <w:b/>
          <w:color w:val="003B8E"/>
          <w:lang w:eastAsia="fr-FR"/>
        </w:rPr>
      </w:pPr>
    </w:p>
    <w:tbl>
      <w:tblPr>
        <w:tblW w:w="8931" w:type="dxa"/>
        <w:tblLayout w:type="fixed"/>
        <w:tblCellMar>
          <w:left w:w="70" w:type="dxa"/>
          <w:right w:w="70" w:type="dxa"/>
        </w:tblCellMar>
        <w:tblLook w:val="04A0" w:firstRow="1" w:lastRow="0" w:firstColumn="1" w:lastColumn="0" w:noHBand="0" w:noVBand="1"/>
      </w:tblPr>
      <w:tblGrid>
        <w:gridCol w:w="851"/>
        <w:gridCol w:w="6095"/>
        <w:gridCol w:w="992"/>
        <w:gridCol w:w="993"/>
      </w:tblGrid>
      <w:tr w:rsidR="007B06AC" w:rsidRPr="000763C3" w14:paraId="31D90A18" w14:textId="77777777" w:rsidTr="003507C8">
        <w:trPr>
          <w:trHeight w:val="300"/>
        </w:trPr>
        <w:tc>
          <w:tcPr>
            <w:tcW w:w="6946" w:type="dxa"/>
            <w:gridSpan w:val="2"/>
            <w:tcBorders>
              <w:top w:val="nil"/>
              <w:left w:val="nil"/>
              <w:bottom w:val="nil"/>
              <w:right w:val="nil"/>
            </w:tcBorders>
            <w:shd w:val="clear" w:color="auto" w:fill="auto"/>
            <w:noWrap/>
            <w:vAlign w:val="bottom"/>
            <w:hideMark/>
          </w:tcPr>
          <w:p w14:paraId="19C36444" w14:textId="6218DAA0" w:rsidR="007B06AC" w:rsidRPr="003507C8" w:rsidRDefault="007B06AC" w:rsidP="003507C8">
            <w:pPr>
              <w:spacing w:after="0" w:line="240" w:lineRule="auto"/>
              <w:rPr>
                <w:rFonts w:ascii="Times New Roman" w:eastAsia="Times New Roman" w:hAnsi="Times New Roman" w:cs="Times New Roman"/>
                <w:b/>
                <w:bCs/>
                <w:color w:val="FF0000"/>
                <w:sz w:val="20"/>
                <w:szCs w:val="20"/>
                <w:lang w:eastAsia="fr-FR"/>
              </w:rPr>
            </w:pPr>
            <w:r>
              <w:rPr>
                <w:rFonts w:ascii="Times New Roman" w:eastAsia="Times New Roman" w:hAnsi="Times New Roman" w:cs="Times New Roman"/>
                <w:b/>
                <w:bCs/>
                <w:color w:val="FF0000"/>
                <w:sz w:val="20"/>
                <w:szCs w:val="20"/>
                <w:lang w:eastAsia="fr-FR"/>
              </w:rPr>
              <w:t>PFE.01.02.31</w:t>
            </w:r>
          </w:p>
        </w:tc>
        <w:tc>
          <w:tcPr>
            <w:tcW w:w="992" w:type="dxa"/>
            <w:tcBorders>
              <w:top w:val="nil"/>
              <w:left w:val="nil"/>
              <w:bottom w:val="nil"/>
              <w:right w:val="nil"/>
            </w:tcBorders>
            <w:shd w:val="clear" w:color="auto" w:fill="auto"/>
            <w:noWrap/>
            <w:vAlign w:val="center"/>
            <w:hideMark/>
          </w:tcPr>
          <w:p w14:paraId="77EA570C" w14:textId="77777777" w:rsidR="007B06AC" w:rsidRPr="003507C8" w:rsidRDefault="007B06AC" w:rsidP="003507C8">
            <w:pPr>
              <w:spacing w:after="0" w:line="240" w:lineRule="auto"/>
              <w:rPr>
                <w:rFonts w:ascii="Times New Roman" w:eastAsia="Times New Roman" w:hAnsi="Times New Roman" w:cs="Times New Roman"/>
                <w:b/>
                <w:bCs/>
                <w:color w:val="FF0000"/>
                <w:sz w:val="20"/>
                <w:szCs w:val="20"/>
                <w:lang w:eastAsia="fr-FR"/>
              </w:rPr>
            </w:pPr>
          </w:p>
        </w:tc>
        <w:tc>
          <w:tcPr>
            <w:tcW w:w="993" w:type="dxa"/>
            <w:tcBorders>
              <w:top w:val="nil"/>
              <w:left w:val="nil"/>
              <w:bottom w:val="nil"/>
              <w:right w:val="nil"/>
            </w:tcBorders>
            <w:shd w:val="clear" w:color="auto" w:fill="auto"/>
            <w:noWrap/>
            <w:vAlign w:val="center"/>
            <w:hideMark/>
          </w:tcPr>
          <w:p w14:paraId="741A5919"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r>
      <w:tr w:rsidR="007B06AC" w:rsidRPr="000763C3" w14:paraId="2D36E30F" w14:textId="77777777" w:rsidTr="003507C8">
        <w:trPr>
          <w:trHeight w:val="300"/>
        </w:trPr>
        <w:tc>
          <w:tcPr>
            <w:tcW w:w="6946" w:type="dxa"/>
            <w:gridSpan w:val="2"/>
            <w:tcBorders>
              <w:top w:val="nil"/>
              <w:left w:val="nil"/>
              <w:bottom w:val="nil"/>
              <w:right w:val="nil"/>
            </w:tcBorders>
            <w:shd w:val="clear" w:color="auto" w:fill="auto"/>
            <w:noWrap/>
            <w:vAlign w:val="bottom"/>
            <w:hideMark/>
          </w:tcPr>
          <w:p w14:paraId="6E6517DA" w14:textId="77777777" w:rsidR="007B06AC" w:rsidRPr="003507C8" w:rsidRDefault="007B06AC" w:rsidP="003507C8">
            <w:pPr>
              <w:spacing w:after="0" w:line="240" w:lineRule="auto"/>
              <w:rPr>
                <w:rFonts w:ascii="Times New Roman" w:eastAsia="Times New Roman" w:hAnsi="Times New Roman" w:cs="Times New Roman"/>
                <w:b/>
                <w:bCs/>
                <w:color w:val="000000"/>
                <w:sz w:val="20"/>
                <w:szCs w:val="20"/>
                <w:lang w:eastAsia="fr-FR"/>
              </w:rPr>
            </w:pPr>
            <w:r w:rsidRPr="003507C8">
              <w:rPr>
                <w:rFonts w:ascii="Times New Roman" w:eastAsia="Times New Roman" w:hAnsi="Times New Roman" w:cs="Times New Roman"/>
                <w:b/>
                <w:bCs/>
                <w:color w:val="000000"/>
                <w:sz w:val="20"/>
                <w:szCs w:val="20"/>
                <w:lang w:eastAsia="fr-FR"/>
              </w:rPr>
              <w:t xml:space="preserve">Information générale [Pension </w:t>
            </w:r>
            <w:proofErr w:type="spellStart"/>
            <w:r w:rsidRPr="003507C8">
              <w:rPr>
                <w:rFonts w:ascii="Times New Roman" w:eastAsia="Times New Roman" w:hAnsi="Times New Roman" w:cs="Times New Roman"/>
                <w:b/>
                <w:bCs/>
                <w:color w:val="000000"/>
                <w:sz w:val="20"/>
                <w:szCs w:val="20"/>
                <w:lang w:eastAsia="fr-FR"/>
              </w:rPr>
              <w:t>funds</w:t>
            </w:r>
            <w:proofErr w:type="spellEnd"/>
            <w:r w:rsidRPr="003507C8">
              <w:rPr>
                <w:rFonts w:ascii="Times New Roman" w:eastAsia="Times New Roman" w:hAnsi="Times New Roman" w:cs="Times New Roman"/>
                <w:b/>
                <w:bCs/>
                <w:color w:val="000000"/>
                <w:sz w:val="20"/>
                <w:szCs w:val="20"/>
                <w:lang w:eastAsia="fr-FR"/>
              </w:rPr>
              <w:t xml:space="preserve"> </w:t>
            </w:r>
            <w:proofErr w:type="spellStart"/>
            <w:r w:rsidRPr="003507C8">
              <w:rPr>
                <w:rFonts w:ascii="Times New Roman" w:eastAsia="Times New Roman" w:hAnsi="Times New Roman" w:cs="Times New Roman"/>
                <w:b/>
                <w:bCs/>
                <w:color w:val="000000"/>
                <w:sz w:val="20"/>
                <w:szCs w:val="20"/>
                <w:lang w:eastAsia="fr-FR"/>
              </w:rPr>
              <w:t>with</w:t>
            </w:r>
            <w:proofErr w:type="spellEnd"/>
            <w:r w:rsidRPr="003507C8">
              <w:rPr>
                <w:rFonts w:ascii="Times New Roman" w:eastAsia="Times New Roman" w:hAnsi="Times New Roman" w:cs="Times New Roman"/>
                <w:b/>
                <w:bCs/>
                <w:color w:val="000000"/>
                <w:sz w:val="20"/>
                <w:szCs w:val="20"/>
                <w:lang w:eastAsia="fr-FR"/>
              </w:rPr>
              <w:t xml:space="preserve"> ECB </w:t>
            </w:r>
            <w:proofErr w:type="spellStart"/>
            <w:r w:rsidRPr="003507C8">
              <w:rPr>
                <w:rFonts w:ascii="Times New Roman" w:eastAsia="Times New Roman" w:hAnsi="Times New Roman" w:cs="Times New Roman"/>
                <w:b/>
                <w:bCs/>
                <w:color w:val="000000"/>
                <w:sz w:val="20"/>
                <w:szCs w:val="20"/>
                <w:lang w:eastAsia="fr-FR"/>
              </w:rPr>
              <w:t>add-ons</w:t>
            </w:r>
            <w:proofErr w:type="spellEnd"/>
            <w:r w:rsidRPr="003507C8">
              <w:rPr>
                <w:rFonts w:ascii="Times New Roman" w:eastAsia="Times New Roman" w:hAnsi="Times New Roman" w:cs="Times New Roman"/>
                <w:b/>
                <w:bCs/>
                <w:color w:val="000000"/>
                <w:sz w:val="20"/>
                <w:szCs w:val="20"/>
                <w:lang w:eastAsia="fr-FR"/>
              </w:rPr>
              <w:t>]</w:t>
            </w:r>
          </w:p>
        </w:tc>
        <w:tc>
          <w:tcPr>
            <w:tcW w:w="992" w:type="dxa"/>
            <w:tcBorders>
              <w:top w:val="nil"/>
              <w:left w:val="nil"/>
              <w:bottom w:val="nil"/>
              <w:right w:val="nil"/>
            </w:tcBorders>
            <w:shd w:val="clear" w:color="auto" w:fill="auto"/>
            <w:noWrap/>
            <w:vAlign w:val="center"/>
            <w:hideMark/>
          </w:tcPr>
          <w:p w14:paraId="3750FDEE" w14:textId="77777777" w:rsidR="007B06AC" w:rsidRPr="003507C8" w:rsidRDefault="007B06AC" w:rsidP="003507C8">
            <w:pPr>
              <w:spacing w:after="0" w:line="240" w:lineRule="auto"/>
              <w:rPr>
                <w:rFonts w:ascii="Times New Roman" w:eastAsia="Times New Roman" w:hAnsi="Times New Roman" w:cs="Times New Roman"/>
                <w:b/>
                <w:bCs/>
                <w:color w:val="000000"/>
                <w:sz w:val="20"/>
                <w:szCs w:val="20"/>
                <w:lang w:eastAsia="fr-FR"/>
              </w:rPr>
            </w:pPr>
          </w:p>
        </w:tc>
        <w:tc>
          <w:tcPr>
            <w:tcW w:w="993" w:type="dxa"/>
            <w:tcBorders>
              <w:top w:val="nil"/>
              <w:left w:val="nil"/>
              <w:bottom w:val="nil"/>
              <w:right w:val="nil"/>
            </w:tcBorders>
            <w:shd w:val="clear" w:color="auto" w:fill="auto"/>
            <w:noWrap/>
            <w:vAlign w:val="center"/>
            <w:hideMark/>
          </w:tcPr>
          <w:p w14:paraId="392A777E"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r>
      <w:tr w:rsidR="007B06AC" w:rsidRPr="000763C3" w14:paraId="41CD59EC" w14:textId="77777777" w:rsidTr="003507C8">
        <w:trPr>
          <w:trHeight w:val="300"/>
        </w:trPr>
        <w:tc>
          <w:tcPr>
            <w:tcW w:w="851" w:type="dxa"/>
            <w:tcBorders>
              <w:top w:val="nil"/>
              <w:left w:val="nil"/>
              <w:bottom w:val="nil"/>
              <w:right w:val="nil"/>
            </w:tcBorders>
            <w:shd w:val="clear" w:color="auto" w:fill="auto"/>
            <w:noWrap/>
            <w:vAlign w:val="center"/>
            <w:hideMark/>
          </w:tcPr>
          <w:p w14:paraId="2DB17876"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6095" w:type="dxa"/>
            <w:tcBorders>
              <w:top w:val="nil"/>
              <w:left w:val="nil"/>
              <w:bottom w:val="nil"/>
              <w:right w:val="nil"/>
            </w:tcBorders>
            <w:shd w:val="clear" w:color="auto" w:fill="auto"/>
            <w:noWrap/>
            <w:vAlign w:val="center"/>
            <w:hideMark/>
          </w:tcPr>
          <w:p w14:paraId="0C6721AF"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992" w:type="dxa"/>
            <w:tcBorders>
              <w:top w:val="nil"/>
              <w:left w:val="nil"/>
              <w:bottom w:val="nil"/>
              <w:right w:val="nil"/>
            </w:tcBorders>
            <w:shd w:val="clear" w:color="auto" w:fill="auto"/>
            <w:noWrap/>
            <w:vAlign w:val="center"/>
            <w:hideMark/>
          </w:tcPr>
          <w:p w14:paraId="6B83EFBE"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993" w:type="dxa"/>
            <w:tcBorders>
              <w:top w:val="nil"/>
              <w:left w:val="nil"/>
              <w:bottom w:val="nil"/>
              <w:right w:val="nil"/>
            </w:tcBorders>
            <w:shd w:val="clear" w:color="auto" w:fill="auto"/>
            <w:noWrap/>
            <w:vAlign w:val="center"/>
            <w:hideMark/>
          </w:tcPr>
          <w:p w14:paraId="3F913C91"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r>
      <w:tr w:rsidR="007B06AC" w:rsidRPr="000763C3" w14:paraId="660E0DDC" w14:textId="77777777" w:rsidTr="003507C8">
        <w:trPr>
          <w:trHeight w:val="300"/>
        </w:trPr>
        <w:tc>
          <w:tcPr>
            <w:tcW w:w="6946" w:type="dxa"/>
            <w:gridSpan w:val="2"/>
            <w:tcBorders>
              <w:top w:val="nil"/>
              <w:left w:val="nil"/>
              <w:bottom w:val="nil"/>
              <w:right w:val="nil"/>
            </w:tcBorders>
            <w:shd w:val="clear" w:color="auto" w:fill="auto"/>
            <w:noWrap/>
            <w:vAlign w:val="bottom"/>
            <w:hideMark/>
          </w:tcPr>
          <w:p w14:paraId="7DFF8501" w14:textId="6F994A8F" w:rsidR="007B06AC" w:rsidRPr="003507C8" w:rsidRDefault="007B06AC">
            <w:pPr>
              <w:spacing w:after="0" w:line="240" w:lineRule="auto"/>
              <w:rPr>
                <w:rFonts w:ascii="Times New Roman" w:eastAsia="Times New Roman" w:hAnsi="Times New Roman" w:cs="Times New Roman"/>
                <w:b/>
                <w:bCs/>
                <w:color w:val="FF0000"/>
                <w:sz w:val="20"/>
                <w:szCs w:val="20"/>
                <w:lang w:eastAsia="fr-FR"/>
              </w:rPr>
            </w:pPr>
            <w:r w:rsidRPr="003507C8">
              <w:rPr>
                <w:rFonts w:ascii="Times New Roman" w:eastAsia="Times New Roman" w:hAnsi="Times New Roman" w:cs="Times New Roman"/>
                <w:b/>
                <w:bCs/>
                <w:color w:val="FF0000"/>
                <w:sz w:val="20"/>
                <w:szCs w:val="20"/>
                <w:lang w:eastAsia="fr-FR"/>
              </w:rPr>
              <w:t>PFE.01.02.3</w:t>
            </w:r>
            <w:r>
              <w:rPr>
                <w:rFonts w:ascii="Times New Roman" w:eastAsia="Times New Roman" w:hAnsi="Times New Roman" w:cs="Times New Roman"/>
                <w:b/>
                <w:bCs/>
                <w:color w:val="FF0000"/>
                <w:sz w:val="20"/>
                <w:szCs w:val="20"/>
                <w:lang w:eastAsia="fr-FR"/>
              </w:rPr>
              <w:t>1</w:t>
            </w:r>
            <w:r w:rsidRPr="003507C8">
              <w:rPr>
                <w:rFonts w:ascii="Times New Roman" w:eastAsia="Times New Roman" w:hAnsi="Times New Roman" w:cs="Times New Roman"/>
                <w:b/>
                <w:bCs/>
                <w:color w:val="FF0000"/>
                <w:sz w:val="20"/>
                <w:szCs w:val="20"/>
                <w:lang w:eastAsia="fr-FR"/>
              </w:rPr>
              <w:t>.01</w:t>
            </w:r>
          </w:p>
        </w:tc>
        <w:tc>
          <w:tcPr>
            <w:tcW w:w="992" w:type="dxa"/>
            <w:tcBorders>
              <w:top w:val="nil"/>
              <w:left w:val="nil"/>
              <w:bottom w:val="nil"/>
              <w:right w:val="nil"/>
            </w:tcBorders>
            <w:shd w:val="clear" w:color="auto" w:fill="auto"/>
            <w:noWrap/>
            <w:vAlign w:val="center"/>
            <w:hideMark/>
          </w:tcPr>
          <w:p w14:paraId="4E9E6223" w14:textId="77777777" w:rsidR="007B06AC" w:rsidRPr="003507C8" w:rsidRDefault="007B06AC" w:rsidP="003507C8">
            <w:pPr>
              <w:spacing w:after="0" w:line="240" w:lineRule="auto"/>
              <w:rPr>
                <w:rFonts w:ascii="Times New Roman" w:eastAsia="Times New Roman" w:hAnsi="Times New Roman" w:cs="Times New Roman"/>
                <w:b/>
                <w:bCs/>
                <w:color w:val="FF0000"/>
                <w:sz w:val="20"/>
                <w:szCs w:val="20"/>
                <w:lang w:eastAsia="fr-FR"/>
              </w:rPr>
            </w:pPr>
          </w:p>
        </w:tc>
        <w:tc>
          <w:tcPr>
            <w:tcW w:w="993" w:type="dxa"/>
            <w:tcBorders>
              <w:top w:val="nil"/>
              <w:left w:val="nil"/>
              <w:bottom w:val="nil"/>
              <w:right w:val="nil"/>
            </w:tcBorders>
            <w:shd w:val="clear" w:color="auto" w:fill="auto"/>
            <w:noWrap/>
            <w:vAlign w:val="center"/>
            <w:hideMark/>
          </w:tcPr>
          <w:p w14:paraId="2D27AC69"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r>
      <w:tr w:rsidR="007B06AC" w:rsidRPr="000763C3" w14:paraId="0BFF1C24" w14:textId="77777777" w:rsidTr="003507C8">
        <w:trPr>
          <w:trHeight w:val="300"/>
        </w:trPr>
        <w:tc>
          <w:tcPr>
            <w:tcW w:w="6946" w:type="dxa"/>
            <w:gridSpan w:val="2"/>
            <w:tcBorders>
              <w:top w:val="nil"/>
              <w:left w:val="nil"/>
              <w:bottom w:val="nil"/>
              <w:right w:val="nil"/>
            </w:tcBorders>
            <w:shd w:val="clear" w:color="auto" w:fill="auto"/>
            <w:noWrap/>
            <w:vAlign w:val="bottom"/>
            <w:hideMark/>
          </w:tcPr>
          <w:p w14:paraId="4436A955" w14:textId="77777777" w:rsidR="007B06AC" w:rsidRPr="003507C8" w:rsidRDefault="007B06AC" w:rsidP="003507C8">
            <w:pPr>
              <w:spacing w:after="0" w:line="240" w:lineRule="auto"/>
              <w:rPr>
                <w:rFonts w:ascii="Times New Roman" w:eastAsia="Times New Roman" w:hAnsi="Times New Roman" w:cs="Times New Roman"/>
                <w:b/>
                <w:bCs/>
                <w:color w:val="000000"/>
                <w:sz w:val="20"/>
                <w:szCs w:val="20"/>
                <w:lang w:eastAsia="fr-FR"/>
              </w:rPr>
            </w:pPr>
            <w:r w:rsidRPr="003507C8">
              <w:rPr>
                <w:rFonts w:ascii="Times New Roman" w:eastAsia="Times New Roman" w:hAnsi="Times New Roman" w:cs="Times New Roman"/>
                <w:b/>
                <w:bCs/>
                <w:color w:val="000000"/>
                <w:sz w:val="20"/>
                <w:szCs w:val="20"/>
                <w:lang w:eastAsia="fr-FR"/>
              </w:rPr>
              <w:t xml:space="preserve">Information générale [Pension </w:t>
            </w:r>
            <w:proofErr w:type="spellStart"/>
            <w:r w:rsidRPr="003507C8">
              <w:rPr>
                <w:rFonts w:ascii="Times New Roman" w:eastAsia="Times New Roman" w:hAnsi="Times New Roman" w:cs="Times New Roman"/>
                <w:b/>
                <w:bCs/>
                <w:color w:val="000000"/>
                <w:sz w:val="20"/>
                <w:szCs w:val="20"/>
                <w:lang w:eastAsia="fr-FR"/>
              </w:rPr>
              <w:t>funds</w:t>
            </w:r>
            <w:proofErr w:type="spellEnd"/>
            <w:r w:rsidRPr="003507C8">
              <w:rPr>
                <w:rFonts w:ascii="Times New Roman" w:eastAsia="Times New Roman" w:hAnsi="Times New Roman" w:cs="Times New Roman"/>
                <w:b/>
                <w:bCs/>
                <w:color w:val="000000"/>
                <w:sz w:val="20"/>
                <w:szCs w:val="20"/>
                <w:lang w:eastAsia="fr-FR"/>
              </w:rPr>
              <w:t xml:space="preserve"> </w:t>
            </w:r>
            <w:proofErr w:type="spellStart"/>
            <w:r w:rsidRPr="003507C8">
              <w:rPr>
                <w:rFonts w:ascii="Times New Roman" w:eastAsia="Times New Roman" w:hAnsi="Times New Roman" w:cs="Times New Roman"/>
                <w:b/>
                <w:bCs/>
                <w:color w:val="000000"/>
                <w:sz w:val="20"/>
                <w:szCs w:val="20"/>
                <w:lang w:eastAsia="fr-FR"/>
              </w:rPr>
              <w:t>with</w:t>
            </w:r>
            <w:proofErr w:type="spellEnd"/>
            <w:r w:rsidRPr="003507C8">
              <w:rPr>
                <w:rFonts w:ascii="Times New Roman" w:eastAsia="Times New Roman" w:hAnsi="Times New Roman" w:cs="Times New Roman"/>
                <w:b/>
                <w:bCs/>
                <w:color w:val="000000"/>
                <w:sz w:val="20"/>
                <w:szCs w:val="20"/>
                <w:lang w:eastAsia="fr-FR"/>
              </w:rPr>
              <w:t xml:space="preserve"> ECB </w:t>
            </w:r>
            <w:proofErr w:type="spellStart"/>
            <w:r w:rsidRPr="003507C8">
              <w:rPr>
                <w:rFonts w:ascii="Times New Roman" w:eastAsia="Times New Roman" w:hAnsi="Times New Roman" w:cs="Times New Roman"/>
                <w:b/>
                <w:bCs/>
                <w:color w:val="000000"/>
                <w:sz w:val="20"/>
                <w:szCs w:val="20"/>
                <w:lang w:eastAsia="fr-FR"/>
              </w:rPr>
              <w:t>add-ons</w:t>
            </w:r>
            <w:proofErr w:type="spellEnd"/>
            <w:r w:rsidRPr="003507C8">
              <w:rPr>
                <w:rFonts w:ascii="Times New Roman" w:eastAsia="Times New Roman" w:hAnsi="Times New Roman" w:cs="Times New Roman"/>
                <w:b/>
                <w:bCs/>
                <w:color w:val="000000"/>
                <w:sz w:val="20"/>
                <w:szCs w:val="20"/>
                <w:lang w:eastAsia="fr-FR"/>
              </w:rPr>
              <w:t>]</w:t>
            </w:r>
          </w:p>
        </w:tc>
        <w:tc>
          <w:tcPr>
            <w:tcW w:w="992" w:type="dxa"/>
            <w:tcBorders>
              <w:top w:val="nil"/>
              <w:left w:val="nil"/>
              <w:bottom w:val="nil"/>
              <w:right w:val="nil"/>
            </w:tcBorders>
            <w:shd w:val="clear" w:color="auto" w:fill="auto"/>
            <w:noWrap/>
            <w:vAlign w:val="center"/>
            <w:hideMark/>
          </w:tcPr>
          <w:p w14:paraId="000AF7C0" w14:textId="77777777" w:rsidR="007B06AC" w:rsidRPr="003507C8" w:rsidRDefault="007B06AC" w:rsidP="003507C8">
            <w:pPr>
              <w:spacing w:after="0" w:line="240" w:lineRule="auto"/>
              <w:rPr>
                <w:rFonts w:ascii="Times New Roman" w:eastAsia="Times New Roman" w:hAnsi="Times New Roman" w:cs="Times New Roman"/>
                <w:b/>
                <w:bCs/>
                <w:color w:val="000000"/>
                <w:sz w:val="20"/>
                <w:szCs w:val="20"/>
                <w:lang w:eastAsia="fr-FR"/>
              </w:rPr>
            </w:pPr>
          </w:p>
        </w:tc>
        <w:tc>
          <w:tcPr>
            <w:tcW w:w="993" w:type="dxa"/>
            <w:tcBorders>
              <w:top w:val="nil"/>
              <w:left w:val="nil"/>
              <w:bottom w:val="nil"/>
              <w:right w:val="nil"/>
            </w:tcBorders>
            <w:shd w:val="clear" w:color="auto" w:fill="auto"/>
            <w:noWrap/>
            <w:vAlign w:val="center"/>
            <w:hideMark/>
          </w:tcPr>
          <w:p w14:paraId="3FCF3A5F"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r>
      <w:tr w:rsidR="007B06AC" w:rsidRPr="000763C3" w14:paraId="3E9EEBBC" w14:textId="77777777" w:rsidTr="003507C8">
        <w:trPr>
          <w:trHeight w:val="300"/>
        </w:trPr>
        <w:tc>
          <w:tcPr>
            <w:tcW w:w="851" w:type="dxa"/>
            <w:tcBorders>
              <w:top w:val="nil"/>
              <w:left w:val="nil"/>
              <w:bottom w:val="nil"/>
              <w:right w:val="nil"/>
            </w:tcBorders>
            <w:shd w:val="clear" w:color="auto" w:fill="auto"/>
            <w:noWrap/>
            <w:vAlign w:val="center"/>
            <w:hideMark/>
          </w:tcPr>
          <w:p w14:paraId="54E75915"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6095" w:type="dxa"/>
            <w:tcBorders>
              <w:top w:val="nil"/>
              <w:left w:val="nil"/>
              <w:bottom w:val="nil"/>
              <w:right w:val="nil"/>
            </w:tcBorders>
            <w:shd w:val="clear" w:color="auto" w:fill="auto"/>
            <w:noWrap/>
            <w:vAlign w:val="center"/>
            <w:hideMark/>
          </w:tcPr>
          <w:p w14:paraId="4A5169D2"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992" w:type="dxa"/>
            <w:tcBorders>
              <w:top w:val="nil"/>
              <w:left w:val="nil"/>
              <w:bottom w:val="nil"/>
              <w:right w:val="nil"/>
            </w:tcBorders>
            <w:shd w:val="clear" w:color="auto" w:fill="auto"/>
            <w:noWrap/>
            <w:vAlign w:val="center"/>
            <w:hideMark/>
          </w:tcPr>
          <w:p w14:paraId="30558C69" w14:textId="77777777" w:rsidR="007B06AC" w:rsidRPr="000763C3" w:rsidRDefault="007B06AC" w:rsidP="003507C8">
            <w:pPr>
              <w:spacing w:after="0" w:line="240" w:lineRule="auto"/>
              <w:rPr>
                <w:rFonts w:ascii="Times New Roman" w:eastAsia="Times New Roman" w:hAnsi="Times New Roman" w:cs="Times New Roman"/>
                <w:sz w:val="20"/>
                <w:szCs w:val="20"/>
                <w:lang w:eastAsia="fr-FR"/>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859E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C0010</w:t>
            </w:r>
          </w:p>
        </w:tc>
      </w:tr>
      <w:tr w:rsidR="007B06AC" w:rsidRPr="000763C3" w14:paraId="3DE0622A" w14:textId="77777777" w:rsidTr="003507C8">
        <w:trPr>
          <w:trHeight w:val="300"/>
        </w:trPr>
        <w:tc>
          <w:tcPr>
            <w:tcW w:w="851" w:type="dxa"/>
            <w:tcBorders>
              <w:top w:val="nil"/>
              <w:left w:val="nil"/>
              <w:bottom w:val="nil"/>
              <w:right w:val="nil"/>
            </w:tcBorders>
            <w:shd w:val="clear" w:color="auto" w:fill="auto"/>
            <w:noWrap/>
            <w:vAlign w:val="center"/>
            <w:hideMark/>
          </w:tcPr>
          <w:p w14:paraId="71C650D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7C46F"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Pays d’agrément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7B410"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R0010</w:t>
            </w:r>
          </w:p>
        </w:tc>
        <w:tc>
          <w:tcPr>
            <w:tcW w:w="993" w:type="dxa"/>
            <w:tcBorders>
              <w:top w:val="nil"/>
              <w:left w:val="single" w:sz="4" w:space="0" w:color="auto"/>
              <w:bottom w:val="single" w:sz="4" w:space="0" w:color="auto"/>
              <w:right w:val="single" w:sz="4" w:space="0" w:color="auto"/>
            </w:tcBorders>
            <w:shd w:val="clear" w:color="auto" w:fill="auto"/>
            <w:hideMark/>
          </w:tcPr>
          <w:p w14:paraId="10238635"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038659CE" w14:textId="77777777" w:rsidTr="003507C8">
        <w:trPr>
          <w:trHeight w:val="300"/>
        </w:trPr>
        <w:tc>
          <w:tcPr>
            <w:tcW w:w="851" w:type="dxa"/>
            <w:tcBorders>
              <w:top w:val="nil"/>
              <w:left w:val="nil"/>
              <w:bottom w:val="nil"/>
              <w:right w:val="nil"/>
            </w:tcBorders>
            <w:shd w:val="clear" w:color="auto" w:fill="auto"/>
            <w:noWrap/>
            <w:vAlign w:val="center"/>
            <w:hideMark/>
          </w:tcPr>
          <w:p w14:paraId="03CCAC5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DFBD1E7"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iCs/>
                <w:sz w:val="20"/>
                <w:szCs w:val="20"/>
                <w:lang w:eastAsia="fr-FR"/>
              </w:rPr>
              <w:t>Date de déclaration</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0B07E62"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R0020</w:t>
            </w:r>
          </w:p>
        </w:tc>
        <w:tc>
          <w:tcPr>
            <w:tcW w:w="993" w:type="dxa"/>
            <w:tcBorders>
              <w:top w:val="nil"/>
              <w:left w:val="single" w:sz="4" w:space="0" w:color="auto"/>
              <w:bottom w:val="single" w:sz="4" w:space="0" w:color="auto"/>
              <w:right w:val="single" w:sz="4" w:space="0" w:color="auto"/>
            </w:tcBorders>
            <w:shd w:val="clear" w:color="auto" w:fill="auto"/>
            <w:hideMark/>
          </w:tcPr>
          <w:p w14:paraId="2DED4BE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31715306" w14:textId="77777777" w:rsidTr="003507C8">
        <w:trPr>
          <w:trHeight w:val="300"/>
        </w:trPr>
        <w:tc>
          <w:tcPr>
            <w:tcW w:w="851" w:type="dxa"/>
            <w:tcBorders>
              <w:top w:val="nil"/>
              <w:left w:val="nil"/>
              <w:bottom w:val="nil"/>
              <w:right w:val="nil"/>
            </w:tcBorders>
            <w:shd w:val="clear" w:color="auto" w:fill="auto"/>
            <w:noWrap/>
            <w:vAlign w:val="center"/>
            <w:hideMark/>
          </w:tcPr>
          <w:p w14:paraId="542FE8B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4D005747"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iCs/>
                <w:sz w:val="20"/>
                <w:szCs w:val="20"/>
                <w:lang w:eastAsia="fr-FR"/>
              </w:rPr>
              <w:t>Date de référence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121169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R0030</w:t>
            </w:r>
          </w:p>
        </w:tc>
        <w:tc>
          <w:tcPr>
            <w:tcW w:w="993" w:type="dxa"/>
            <w:tcBorders>
              <w:top w:val="nil"/>
              <w:left w:val="single" w:sz="4" w:space="0" w:color="auto"/>
              <w:bottom w:val="single" w:sz="4" w:space="0" w:color="auto"/>
              <w:right w:val="single" w:sz="4" w:space="0" w:color="auto"/>
            </w:tcBorders>
            <w:shd w:val="clear" w:color="auto" w:fill="auto"/>
            <w:hideMark/>
          </w:tcPr>
          <w:p w14:paraId="0D6D3405"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2099F3C6" w14:textId="77777777" w:rsidTr="003507C8">
        <w:trPr>
          <w:trHeight w:val="300"/>
        </w:trPr>
        <w:tc>
          <w:tcPr>
            <w:tcW w:w="851" w:type="dxa"/>
            <w:tcBorders>
              <w:top w:val="nil"/>
              <w:left w:val="nil"/>
              <w:bottom w:val="nil"/>
              <w:right w:val="nil"/>
            </w:tcBorders>
            <w:shd w:val="clear" w:color="auto" w:fill="auto"/>
            <w:noWrap/>
            <w:vAlign w:val="center"/>
            <w:hideMark/>
          </w:tcPr>
          <w:p w14:paraId="638AD14A"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F8BE1FE"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Date de clôture de l'exercice comptable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469AC83"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R0040</w:t>
            </w:r>
          </w:p>
        </w:tc>
        <w:tc>
          <w:tcPr>
            <w:tcW w:w="993" w:type="dxa"/>
            <w:tcBorders>
              <w:top w:val="nil"/>
              <w:left w:val="single" w:sz="4" w:space="0" w:color="auto"/>
              <w:bottom w:val="single" w:sz="4" w:space="0" w:color="auto"/>
              <w:right w:val="single" w:sz="4" w:space="0" w:color="auto"/>
            </w:tcBorders>
            <w:shd w:val="clear" w:color="auto" w:fill="auto"/>
            <w:hideMark/>
          </w:tcPr>
          <w:p w14:paraId="350BCBE6"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7115783F" w14:textId="77777777" w:rsidTr="003507C8">
        <w:trPr>
          <w:trHeight w:val="300"/>
        </w:trPr>
        <w:tc>
          <w:tcPr>
            <w:tcW w:w="851" w:type="dxa"/>
            <w:tcBorders>
              <w:top w:val="nil"/>
              <w:left w:val="nil"/>
              <w:bottom w:val="nil"/>
              <w:right w:val="nil"/>
            </w:tcBorders>
            <w:shd w:val="clear" w:color="auto" w:fill="auto"/>
            <w:noWrap/>
            <w:vAlign w:val="center"/>
            <w:hideMark/>
          </w:tcPr>
          <w:p w14:paraId="4D29B5C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542EFAF1"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Monnaie de déclaration</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95DC81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R0050</w:t>
            </w:r>
          </w:p>
        </w:tc>
        <w:tc>
          <w:tcPr>
            <w:tcW w:w="993" w:type="dxa"/>
            <w:tcBorders>
              <w:top w:val="nil"/>
              <w:left w:val="single" w:sz="4" w:space="0" w:color="auto"/>
              <w:bottom w:val="single" w:sz="4" w:space="0" w:color="auto"/>
              <w:right w:val="single" w:sz="4" w:space="0" w:color="auto"/>
            </w:tcBorders>
            <w:shd w:val="clear" w:color="auto" w:fill="auto"/>
            <w:hideMark/>
          </w:tcPr>
          <w:p w14:paraId="0DD2F53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6D0F22DC" w14:textId="77777777" w:rsidTr="003507C8">
        <w:trPr>
          <w:trHeight w:val="300"/>
        </w:trPr>
        <w:tc>
          <w:tcPr>
            <w:tcW w:w="851" w:type="dxa"/>
            <w:tcBorders>
              <w:top w:val="nil"/>
              <w:left w:val="nil"/>
              <w:bottom w:val="nil"/>
              <w:right w:val="nil"/>
            </w:tcBorders>
            <w:shd w:val="clear" w:color="auto" w:fill="auto"/>
            <w:noWrap/>
            <w:vAlign w:val="center"/>
            <w:hideMark/>
          </w:tcPr>
          <w:p w14:paraId="5FB2F71B"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6FBEA823"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Première déclaration ou nouvelle déclaration</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045450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R0060</w:t>
            </w:r>
          </w:p>
        </w:tc>
        <w:tc>
          <w:tcPr>
            <w:tcW w:w="993" w:type="dxa"/>
            <w:tcBorders>
              <w:top w:val="nil"/>
              <w:left w:val="single" w:sz="4" w:space="0" w:color="auto"/>
              <w:bottom w:val="single" w:sz="4" w:space="0" w:color="auto"/>
              <w:right w:val="single" w:sz="4" w:space="0" w:color="auto"/>
            </w:tcBorders>
            <w:shd w:val="clear" w:color="auto" w:fill="auto"/>
            <w:hideMark/>
          </w:tcPr>
          <w:p w14:paraId="7C769A6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64DA41B9" w14:textId="77777777" w:rsidTr="003507C8">
        <w:trPr>
          <w:trHeight w:val="300"/>
        </w:trPr>
        <w:tc>
          <w:tcPr>
            <w:tcW w:w="851" w:type="dxa"/>
            <w:tcBorders>
              <w:top w:val="nil"/>
              <w:left w:val="nil"/>
              <w:bottom w:val="nil"/>
              <w:right w:val="nil"/>
            </w:tcBorders>
            <w:shd w:val="clear" w:color="auto" w:fill="auto"/>
            <w:noWrap/>
            <w:vAlign w:val="center"/>
            <w:hideMark/>
          </w:tcPr>
          <w:p w14:paraId="78B94349"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65740FA"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Nom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C64A199"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R0070</w:t>
            </w:r>
          </w:p>
        </w:tc>
        <w:tc>
          <w:tcPr>
            <w:tcW w:w="993" w:type="dxa"/>
            <w:tcBorders>
              <w:top w:val="nil"/>
              <w:left w:val="single" w:sz="4" w:space="0" w:color="auto"/>
              <w:bottom w:val="single" w:sz="4" w:space="0" w:color="auto"/>
              <w:right w:val="single" w:sz="4" w:space="0" w:color="auto"/>
            </w:tcBorders>
            <w:shd w:val="clear" w:color="auto" w:fill="auto"/>
            <w:hideMark/>
          </w:tcPr>
          <w:p w14:paraId="0B9817EB"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0B3F9B0C" w14:textId="77777777" w:rsidTr="003507C8">
        <w:trPr>
          <w:trHeight w:val="300"/>
        </w:trPr>
        <w:tc>
          <w:tcPr>
            <w:tcW w:w="851" w:type="dxa"/>
            <w:tcBorders>
              <w:top w:val="nil"/>
              <w:left w:val="nil"/>
              <w:bottom w:val="nil"/>
              <w:right w:val="nil"/>
            </w:tcBorders>
            <w:shd w:val="clear" w:color="auto" w:fill="auto"/>
            <w:noWrap/>
            <w:vAlign w:val="center"/>
            <w:hideMark/>
          </w:tcPr>
          <w:p w14:paraId="24184E9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noWrap/>
            <w:vAlign w:val="center"/>
            <w:hideMark/>
          </w:tcPr>
          <w:p w14:paraId="538CD944"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Code d’identification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D77E5AF"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R0080</w:t>
            </w:r>
          </w:p>
        </w:tc>
        <w:tc>
          <w:tcPr>
            <w:tcW w:w="993" w:type="dxa"/>
            <w:tcBorders>
              <w:top w:val="nil"/>
              <w:left w:val="single" w:sz="4" w:space="0" w:color="auto"/>
              <w:bottom w:val="single" w:sz="4" w:space="0" w:color="auto"/>
              <w:right w:val="single" w:sz="4" w:space="0" w:color="auto"/>
            </w:tcBorders>
            <w:shd w:val="clear" w:color="auto" w:fill="auto"/>
            <w:hideMark/>
          </w:tcPr>
          <w:p w14:paraId="5BB35E90"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1646CC81" w14:textId="77777777" w:rsidTr="003507C8">
        <w:trPr>
          <w:trHeight w:val="300"/>
        </w:trPr>
        <w:tc>
          <w:tcPr>
            <w:tcW w:w="851" w:type="dxa"/>
            <w:tcBorders>
              <w:top w:val="nil"/>
              <w:left w:val="nil"/>
              <w:bottom w:val="nil"/>
              <w:right w:val="nil"/>
            </w:tcBorders>
            <w:shd w:val="clear" w:color="auto" w:fill="auto"/>
            <w:noWrap/>
            <w:vAlign w:val="center"/>
            <w:hideMark/>
          </w:tcPr>
          <w:p w14:paraId="222BE1F2"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887B871" w14:textId="77777777" w:rsidR="007B06AC" w:rsidRPr="003507C8" w:rsidRDefault="007B06AC" w:rsidP="003507C8">
            <w:pPr>
              <w:spacing w:after="0" w:line="240" w:lineRule="auto"/>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Nature juridique de l'organisme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9BB6B0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R0090</w:t>
            </w:r>
          </w:p>
        </w:tc>
        <w:tc>
          <w:tcPr>
            <w:tcW w:w="993" w:type="dxa"/>
            <w:tcBorders>
              <w:top w:val="nil"/>
              <w:left w:val="single" w:sz="4" w:space="0" w:color="auto"/>
              <w:bottom w:val="single" w:sz="4" w:space="0" w:color="auto"/>
              <w:right w:val="single" w:sz="4" w:space="0" w:color="auto"/>
            </w:tcBorders>
            <w:shd w:val="clear" w:color="auto" w:fill="auto"/>
            <w:hideMark/>
          </w:tcPr>
          <w:p w14:paraId="0605597D"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41F41066" w14:textId="77777777" w:rsidTr="003507C8">
        <w:trPr>
          <w:trHeight w:val="300"/>
        </w:trPr>
        <w:tc>
          <w:tcPr>
            <w:tcW w:w="851" w:type="dxa"/>
            <w:tcBorders>
              <w:top w:val="nil"/>
              <w:left w:val="nil"/>
              <w:bottom w:val="nil"/>
              <w:right w:val="nil"/>
            </w:tcBorders>
            <w:shd w:val="clear" w:color="auto" w:fill="auto"/>
            <w:noWrap/>
            <w:vAlign w:val="center"/>
            <w:hideMark/>
          </w:tcPr>
          <w:p w14:paraId="35203E4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31018288" w14:textId="02E1445A" w:rsidR="007B06AC" w:rsidRPr="003507C8" w:rsidRDefault="001D2184" w:rsidP="003507C8">
            <w:pPr>
              <w:spacing w:after="0" w:line="240" w:lineRule="auto"/>
              <w:rPr>
                <w:rFonts w:ascii="Times New Roman" w:eastAsia="Times New Roman" w:hAnsi="Times New Roman" w:cs="Times New Roman"/>
                <w:sz w:val="20"/>
                <w:szCs w:val="20"/>
                <w:lang w:eastAsia="fr-FR"/>
              </w:rPr>
            </w:pPr>
            <w:r w:rsidRPr="001D2184">
              <w:rPr>
                <w:rFonts w:ascii="Times New Roman" w:eastAsia="Times New Roman" w:hAnsi="Times New Roman" w:cs="Times New Roman"/>
                <w:sz w:val="20"/>
                <w:szCs w:val="20"/>
                <w:lang w:eastAsia="fr-FR"/>
              </w:rPr>
              <w:t>Majorité Cotisations définies / Prestations définies / Mixte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1F96E5B"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R0100</w:t>
            </w:r>
          </w:p>
        </w:tc>
        <w:tc>
          <w:tcPr>
            <w:tcW w:w="993" w:type="dxa"/>
            <w:tcBorders>
              <w:top w:val="nil"/>
              <w:left w:val="single" w:sz="4" w:space="0" w:color="auto"/>
              <w:bottom w:val="single" w:sz="4" w:space="0" w:color="auto"/>
              <w:right w:val="single" w:sz="4" w:space="0" w:color="auto"/>
            </w:tcBorders>
            <w:shd w:val="clear" w:color="auto" w:fill="auto"/>
            <w:hideMark/>
          </w:tcPr>
          <w:p w14:paraId="790B4F7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1D2184" w:rsidRPr="000763C3" w14:paraId="6213EF04" w14:textId="77777777" w:rsidTr="003507C8">
        <w:trPr>
          <w:trHeight w:val="300"/>
        </w:trPr>
        <w:tc>
          <w:tcPr>
            <w:tcW w:w="851" w:type="dxa"/>
            <w:tcBorders>
              <w:top w:val="nil"/>
              <w:left w:val="nil"/>
              <w:bottom w:val="nil"/>
              <w:right w:val="nil"/>
            </w:tcBorders>
            <w:shd w:val="clear" w:color="auto" w:fill="auto"/>
            <w:noWrap/>
            <w:vAlign w:val="center"/>
            <w:hideMark/>
          </w:tcPr>
          <w:p w14:paraId="4B25EB40"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08BEDA0F" w14:textId="239E4B1C" w:rsidR="001D2184" w:rsidRPr="003507C8" w:rsidRDefault="001D2184" w:rsidP="001D2184">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Type de mécanisme liés à l'entreprise "sponsor"</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CC022D4"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R0110</w:t>
            </w:r>
          </w:p>
        </w:tc>
        <w:tc>
          <w:tcPr>
            <w:tcW w:w="993" w:type="dxa"/>
            <w:tcBorders>
              <w:top w:val="nil"/>
              <w:left w:val="single" w:sz="4" w:space="0" w:color="auto"/>
              <w:bottom w:val="single" w:sz="4" w:space="0" w:color="auto"/>
              <w:right w:val="single" w:sz="4" w:space="0" w:color="auto"/>
            </w:tcBorders>
            <w:shd w:val="clear" w:color="auto" w:fill="auto"/>
            <w:hideMark/>
          </w:tcPr>
          <w:p w14:paraId="1204ED65"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1D2184" w:rsidRPr="000763C3" w14:paraId="36E72DD1" w14:textId="77777777" w:rsidTr="003507C8">
        <w:trPr>
          <w:trHeight w:val="300"/>
        </w:trPr>
        <w:tc>
          <w:tcPr>
            <w:tcW w:w="851" w:type="dxa"/>
            <w:tcBorders>
              <w:top w:val="nil"/>
              <w:left w:val="nil"/>
              <w:bottom w:val="nil"/>
              <w:right w:val="nil"/>
            </w:tcBorders>
            <w:shd w:val="clear" w:color="auto" w:fill="auto"/>
            <w:noWrap/>
            <w:vAlign w:val="center"/>
            <w:hideMark/>
          </w:tcPr>
          <w:p w14:paraId="31C5568E"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A9640DA" w14:textId="0AB441CC" w:rsidR="001D2184" w:rsidRPr="003507C8" w:rsidRDefault="001D2184" w:rsidP="001D2184">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Nombre de plans de retraite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142DF08"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R0120</w:t>
            </w:r>
          </w:p>
        </w:tc>
        <w:tc>
          <w:tcPr>
            <w:tcW w:w="993" w:type="dxa"/>
            <w:tcBorders>
              <w:top w:val="nil"/>
              <w:left w:val="single" w:sz="4" w:space="0" w:color="auto"/>
              <w:bottom w:val="single" w:sz="4" w:space="0" w:color="auto"/>
              <w:right w:val="single" w:sz="4" w:space="0" w:color="auto"/>
            </w:tcBorders>
            <w:shd w:val="clear" w:color="auto" w:fill="auto"/>
            <w:hideMark/>
          </w:tcPr>
          <w:p w14:paraId="2D732F37"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1D2184" w:rsidRPr="000763C3" w14:paraId="318745AD" w14:textId="77777777" w:rsidTr="003507C8">
        <w:trPr>
          <w:trHeight w:val="300"/>
        </w:trPr>
        <w:tc>
          <w:tcPr>
            <w:tcW w:w="851" w:type="dxa"/>
            <w:tcBorders>
              <w:top w:val="nil"/>
              <w:left w:val="nil"/>
              <w:bottom w:val="nil"/>
              <w:right w:val="nil"/>
            </w:tcBorders>
            <w:shd w:val="clear" w:color="auto" w:fill="auto"/>
            <w:noWrap/>
            <w:vAlign w:val="center"/>
            <w:hideMark/>
          </w:tcPr>
          <w:p w14:paraId="5DD586C9"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63A0C162" w14:textId="404CF3AB" w:rsidR="001D2184" w:rsidRPr="003507C8" w:rsidRDefault="001D2184" w:rsidP="001D2184">
            <w:pPr>
              <w:spacing w:after="0" w:line="240" w:lineRule="auto"/>
              <w:rPr>
                <w:rFonts w:ascii="Times New Roman" w:eastAsia="Times New Roman" w:hAnsi="Times New Roman" w:cs="Times New Roman"/>
                <w:sz w:val="20"/>
                <w:szCs w:val="20"/>
                <w:lang w:eastAsia="fr-FR"/>
              </w:rPr>
            </w:pPr>
            <w:r w:rsidRPr="007B1E31">
              <w:rPr>
                <w:rFonts w:ascii="Times New Roman" w:eastAsia="Times New Roman" w:hAnsi="Times New Roman" w:cs="Times New Roman"/>
                <w:sz w:val="20"/>
                <w:szCs w:val="20"/>
                <w:lang w:eastAsia="fr-FR"/>
              </w:rPr>
              <w:t>Nombre d'entreprise support</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927A9D0"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R0130</w:t>
            </w:r>
          </w:p>
        </w:tc>
        <w:tc>
          <w:tcPr>
            <w:tcW w:w="993" w:type="dxa"/>
            <w:tcBorders>
              <w:top w:val="nil"/>
              <w:left w:val="single" w:sz="4" w:space="0" w:color="auto"/>
              <w:bottom w:val="single" w:sz="4" w:space="0" w:color="auto"/>
              <w:right w:val="single" w:sz="4" w:space="0" w:color="auto"/>
            </w:tcBorders>
            <w:shd w:val="clear" w:color="auto" w:fill="auto"/>
            <w:hideMark/>
          </w:tcPr>
          <w:p w14:paraId="71AA68E6" w14:textId="77777777" w:rsidR="001D2184" w:rsidRPr="003507C8" w:rsidRDefault="001D2184" w:rsidP="001D2184">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328EBE56" w14:textId="77777777" w:rsidTr="003507C8">
        <w:trPr>
          <w:trHeight w:val="300"/>
        </w:trPr>
        <w:tc>
          <w:tcPr>
            <w:tcW w:w="851" w:type="dxa"/>
            <w:tcBorders>
              <w:top w:val="nil"/>
              <w:left w:val="nil"/>
              <w:bottom w:val="nil"/>
              <w:right w:val="nil"/>
            </w:tcBorders>
            <w:shd w:val="clear" w:color="auto" w:fill="auto"/>
            <w:noWrap/>
            <w:vAlign w:val="center"/>
            <w:hideMark/>
          </w:tcPr>
          <w:p w14:paraId="58B7ED4D"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231789A0" w14:textId="481B81B8" w:rsidR="007B06AC" w:rsidRPr="003507C8" w:rsidRDefault="007B06AC" w:rsidP="003507C8">
            <w:pPr>
              <w:spacing w:after="0" w:line="240" w:lineRule="auto"/>
              <w:rPr>
                <w:rFonts w:ascii="Times New Roman" w:eastAsia="Times New Roman" w:hAnsi="Times New Roman" w:cs="Times New Roman"/>
                <w:b/>
                <w:bCs/>
                <w:sz w:val="20"/>
                <w:szCs w:val="20"/>
                <w:lang w:eastAsia="fr-FR"/>
              </w:rPr>
            </w:pPr>
            <w:r w:rsidRPr="003507C8">
              <w:rPr>
                <w:rFonts w:ascii="Times New Roman" w:eastAsia="Times New Roman" w:hAnsi="Times New Roman" w:cs="Times New Roman"/>
                <w:b/>
                <w:bCs/>
                <w:sz w:val="20"/>
                <w:szCs w:val="20"/>
                <w:lang w:eastAsia="fr-FR"/>
              </w:rPr>
              <w:t xml:space="preserve">Exemption de la part </w:t>
            </w:r>
            <w:r w:rsidR="001D2184">
              <w:rPr>
                <w:rFonts w:ascii="Times New Roman" w:eastAsia="Times New Roman" w:hAnsi="Times New Roman" w:cs="Times New Roman"/>
                <w:b/>
                <w:bCs/>
                <w:sz w:val="20"/>
                <w:szCs w:val="20"/>
                <w:lang w:eastAsia="fr-FR"/>
              </w:rPr>
              <w:t>de l’</w:t>
            </w:r>
            <w:r w:rsidR="001D2184" w:rsidRPr="001D2184">
              <w:rPr>
                <w:rFonts w:ascii="Times New Roman" w:eastAsia="Times New Roman" w:hAnsi="Times New Roman" w:cs="Times New Roman"/>
                <w:b/>
                <w:bCs/>
                <w:sz w:val="20"/>
                <w:szCs w:val="20"/>
                <w:lang w:eastAsia="fr-FR"/>
              </w:rPr>
              <w:t>autorité de contrôle</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907931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c>
          <w:tcPr>
            <w:tcW w:w="993" w:type="dxa"/>
            <w:tcBorders>
              <w:top w:val="nil"/>
              <w:left w:val="nil"/>
              <w:bottom w:val="single" w:sz="4" w:space="0" w:color="auto"/>
              <w:right w:val="single" w:sz="4" w:space="0" w:color="auto"/>
              <w:tl2br w:val="single" w:sz="4" w:space="0" w:color="auto"/>
              <w:tr2bl w:val="single" w:sz="4" w:space="0" w:color="auto"/>
            </w:tcBorders>
            <w:shd w:val="clear" w:color="auto" w:fill="auto"/>
            <w:hideMark/>
          </w:tcPr>
          <w:p w14:paraId="12A3D77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2B7D42BE" w14:textId="77777777" w:rsidTr="003507C8">
        <w:trPr>
          <w:trHeight w:val="300"/>
        </w:trPr>
        <w:tc>
          <w:tcPr>
            <w:tcW w:w="851" w:type="dxa"/>
            <w:tcBorders>
              <w:top w:val="nil"/>
              <w:left w:val="nil"/>
              <w:bottom w:val="nil"/>
              <w:right w:val="nil"/>
            </w:tcBorders>
            <w:shd w:val="clear" w:color="auto" w:fill="auto"/>
            <w:noWrap/>
            <w:vAlign w:val="center"/>
            <w:hideMark/>
          </w:tcPr>
          <w:p w14:paraId="2928C09C"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1B71F292" w14:textId="77777777" w:rsidR="007B06AC" w:rsidRPr="003507C8" w:rsidRDefault="007B06AC" w:rsidP="003507C8">
            <w:pPr>
              <w:spacing w:after="0" w:line="240" w:lineRule="auto"/>
              <w:ind w:firstLineChars="100" w:firstLine="200"/>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xml:space="preserve">Exemption de l’ORPS par le biais de EIOPA </w:t>
            </w:r>
            <w:proofErr w:type="spellStart"/>
            <w:r w:rsidRPr="003507C8">
              <w:rPr>
                <w:rFonts w:ascii="Times New Roman" w:eastAsia="Times New Roman" w:hAnsi="Times New Roman" w:cs="Times New Roman"/>
                <w:sz w:val="20"/>
                <w:szCs w:val="20"/>
                <w:lang w:eastAsia="fr-FR"/>
              </w:rPr>
              <w:t>BoS</w:t>
            </w:r>
            <w:proofErr w:type="spellEnd"/>
            <w:r w:rsidRPr="003507C8">
              <w:rPr>
                <w:rFonts w:ascii="Times New Roman" w:eastAsia="Times New Roman" w:hAnsi="Times New Roman" w:cs="Times New Roman"/>
                <w:sz w:val="20"/>
                <w:szCs w:val="20"/>
                <w:lang w:eastAsia="fr-FR"/>
              </w:rPr>
              <w:t>/18 114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D7392F8"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ER0255</w:t>
            </w:r>
          </w:p>
        </w:tc>
        <w:tc>
          <w:tcPr>
            <w:tcW w:w="993" w:type="dxa"/>
            <w:tcBorders>
              <w:top w:val="nil"/>
              <w:left w:val="single" w:sz="4" w:space="0" w:color="auto"/>
              <w:bottom w:val="single" w:sz="4" w:space="0" w:color="auto"/>
              <w:right w:val="single" w:sz="4" w:space="0" w:color="auto"/>
            </w:tcBorders>
            <w:shd w:val="clear" w:color="auto" w:fill="auto"/>
            <w:hideMark/>
          </w:tcPr>
          <w:p w14:paraId="55DA1C51"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70DB3EE8" w14:textId="77777777" w:rsidTr="003507C8">
        <w:trPr>
          <w:trHeight w:val="600"/>
        </w:trPr>
        <w:tc>
          <w:tcPr>
            <w:tcW w:w="851" w:type="dxa"/>
            <w:tcBorders>
              <w:top w:val="nil"/>
              <w:left w:val="nil"/>
              <w:bottom w:val="nil"/>
              <w:right w:val="nil"/>
            </w:tcBorders>
            <w:shd w:val="clear" w:color="auto" w:fill="auto"/>
            <w:noWrap/>
            <w:vAlign w:val="center"/>
            <w:hideMark/>
          </w:tcPr>
          <w:p w14:paraId="7F763B67"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5D1CA16" w14:textId="77777777" w:rsidR="007B06AC" w:rsidRPr="003507C8" w:rsidRDefault="007B06AC" w:rsidP="003507C8">
            <w:pPr>
              <w:spacing w:after="0" w:line="240" w:lineRule="auto"/>
              <w:ind w:firstLineChars="100" w:firstLine="200"/>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Exemption BCE   par le biais du règlement BCE  ECB/2018/2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C42AEF2"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ER0256</w:t>
            </w:r>
          </w:p>
        </w:tc>
        <w:tc>
          <w:tcPr>
            <w:tcW w:w="993" w:type="dxa"/>
            <w:tcBorders>
              <w:top w:val="nil"/>
              <w:left w:val="single" w:sz="4" w:space="0" w:color="auto"/>
              <w:bottom w:val="single" w:sz="4" w:space="0" w:color="auto"/>
              <w:right w:val="single" w:sz="4" w:space="0" w:color="auto"/>
            </w:tcBorders>
            <w:shd w:val="clear" w:color="auto" w:fill="auto"/>
            <w:hideMark/>
          </w:tcPr>
          <w:p w14:paraId="753E449D"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237EBD29" w14:textId="77777777" w:rsidTr="003507C8">
        <w:trPr>
          <w:trHeight w:val="300"/>
        </w:trPr>
        <w:tc>
          <w:tcPr>
            <w:tcW w:w="851" w:type="dxa"/>
            <w:tcBorders>
              <w:top w:val="nil"/>
              <w:left w:val="nil"/>
              <w:bottom w:val="nil"/>
              <w:right w:val="nil"/>
            </w:tcBorders>
            <w:shd w:val="clear" w:color="auto" w:fill="auto"/>
            <w:noWrap/>
            <w:vAlign w:val="center"/>
            <w:hideMark/>
          </w:tcPr>
          <w:p w14:paraId="49A8002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4D1A389F" w14:textId="77777777" w:rsidR="007B06AC" w:rsidRPr="003507C8" w:rsidRDefault="007B06AC" w:rsidP="003507C8">
            <w:pPr>
              <w:spacing w:after="0" w:line="240" w:lineRule="auto"/>
              <w:rPr>
                <w:rFonts w:ascii="Times New Roman" w:eastAsia="Times New Roman" w:hAnsi="Times New Roman" w:cs="Times New Roman"/>
                <w:sz w:val="20"/>
                <w:szCs w:val="20"/>
                <w:lang w:val="en-GB" w:eastAsia="fr-FR"/>
              </w:rPr>
            </w:pPr>
            <w:r w:rsidRPr="003507C8">
              <w:rPr>
                <w:rFonts w:ascii="Times New Roman" w:eastAsia="Times New Roman" w:hAnsi="Times New Roman" w:cs="Times New Roman"/>
                <w:sz w:val="20"/>
                <w:szCs w:val="20"/>
                <w:lang w:val="en-GB" w:eastAsia="fr-FR"/>
              </w:rPr>
              <w:t>Ad hoc XBRL technical field 1</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01FB19E9"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R0990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91DB393"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59BC7D7B" w14:textId="77777777" w:rsidTr="003507C8">
        <w:trPr>
          <w:trHeight w:val="300"/>
        </w:trPr>
        <w:tc>
          <w:tcPr>
            <w:tcW w:w="851" w:type="dxa"/>
            <w:tcBorders>
              <w:top w:val="nil"/>
              <w:left w:val="nil"/>
              <w:bottom w:val="nil"/>
              <w:right w:val="nil"/>
            </w:tcBorders>
            <w:shd w:val="clear" w:color="auto" w:fill="auto"/>
            <w:noWrap/>
            <w:vAlign w:val="center"/>
            <w:hideMark/>
          </w:tcPr>
          <w:p w14:paraId="502BA58F"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357B4CB8" w14:textId="77777777" w:rsidR="007B06AC" w:rsidRPr="003507C8" w:rsidRDefault="007B06AC" w:rsidP="003507C8">
            <w:pPr>
              <w:spacing w:after="0" w:line="240" w:lineRule="auto"/>
              <w:rPr>
                <w:rFonts w:ascii="Times New Roman" w:eastAsia="Times New Roman" w:hAnsi="Times New Roman" w:cs="Times New Roman"/>
                <w:sz w:val="20"/>
                <w:szCs w:val="20"/>
                <w:lang w:val="en-GB" w:eastAsia="fr-FR"/>
              </w:rPr>
            </w:pPr>
            <w:r w:rsidRPr="003507C8">
              <w:rPr>
                <w:rFonts w:ascii="Times New Roman" w:eastAsia="Times New Roman" w:hAnsi="Times New Roman" w:cs="Times New Roman"/>
                <w:sz w:val="20"/>
                <w:szCs w:val="20"/>
                <w:lang w:val="en-GB" w:eastAsia="fr-FR"/>
              </w:rPr>
              <w:t>Ad hoc XBRL technical field 2</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563B0CA7"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R0991</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32614C65"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r w:rsidR="007B06AC" w:rsidRPr="000763C3" w14:paraId="0D37918F" w14:textId="77777777" w:rsidTr="003507C8">
        <w:trPr>
          <w:trHeight w:val="300"/>
        </w:trPr>
        <w:tc>
          <w:tcPr>
            <w:tcW w:w="851" w:type="dxa"/>
            <w:tcBorders>
              <w:top w:val="nil"/>
              <w:left w:val="nil"/>
              <w:bottom w:val="nil"/>
              <w:right w:val="nil"/>
            </w:tcBorders>
            <w:shd w:val="clear" w:color="auto" w:fill="auto"/>
            <w:noWrap/>
            <w:vAlign w:val="center"/>
            <w:hideMark/>
          </w:tcPr>
          <w:p w14:paraId="2F26B9C4"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p>
        </w:tc>
        <w:tc>
          <w:tcPr>
            <w:tcW w:w="6095" w:type="dxa"/>
            <w:tcBorders>
              <w:top w:val="nil"/>
              <w:left w:val="single" w:sz="4" w:space="0" w:color="auto"/>
              <w:bottom w:val="single" w:sz="4" w:space="0" w:color="auto"/>
              <w:right w:val="single" w:sz="4" w:space="0" w:color="auto"/>
            </w:tcBorders>
            <w:shd w:val="clear" w:color="auto" w:fill="auto"/>
            <w:vAlign w:val="center"/>
            <w:hideMark/>
          </w:tcPr>
          <w:p w14:paraId="7BB1651F" w14:textId="77777777" w:rsidR="007B06AC" w:rsidRPr="003507C8" w:rsidRDefault="007B06AC" w:rsidP="003507C8">
            <w:pPr>
              <w:spacing w:after="0" w:line="240" w:lineRule="auto"/>
              <w:rPr>
                <w:rFonts w:ascii="Times New Roman" w:eastAsia="Times New Roman" w:hAnsi="Times New Roman" w:cs="Times New Roman"/>
                <w:sz w:val="20"/>
                <w:szCs w:val="20"/>
                <w:lang w:val="en-GB" w:eastAsia="fr-FR"/>
              </w:rPr>
            </w:pPr>
            <w:r w:rsidRPr="003507C8">
              <w:rPr>
                <w:rFonts w:ascii="Times New Roman" w:eastAsia="Times New Roman" w:hAnsi="Times New Roman" w:cs="Times New Roman"/>
                <w:sz w:val="20"/>
                <w:szCs w:val="20"/>
                <w:lang w:val="en-GB" w:eastAsia="fr-FR"/>
              </w:rPr>
              <w:t>Ad hoc XBRL technical field 3</w:t>
            </w: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5F815D0E"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R0992</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00DBD99A" w14:textId="77777777" w:rsidR="007B06AC" w:rsidRPr="003507C8" w:rsidRDefault="007B06AC" w:rsidP="003507C8">
            <w:pPr>
              <w:spacing w:after="0" w:line="240" w:lineRule="auto"/>
              <w:jc w:val="center"/>
              <w:rPr>
                <w:rFonts w:ascii="Times New Roman" w:eastAsia="Times New Roman" w:hAnsi="Times New Roman" w:cs="Times New Roman"/>
                <w:sz w:val="20"/>
                <w:szCs w:val="20"/>
                <w:lang w:eastAsia="fr-FR"/>
              </w:rPr>
            </w:pPr>
            <w:r w:rsidRPr="003507C8">
              <w:rPr>
                <w:rFonts w:ascii="Times New Roman" w:eastAsia="Times New Roman" w:hAnsi="Times New Roman" w:cs="Times New Roman"/>
                <w:sz w:val="20"/>
                <w:szCs w:val="20"/>
                <w:lang w:eastAsia="fr-FR"/>
              </w:rPr>
              <w:t> </w:t>
            </w:r>
          </w:p>
        </w:tc>
      </w:tr>
    </w:tbl>
    <w:p w14:paraId="09E07715" w14:textId="77777777" w:rsidR="007B06AC" w:rsidRPr="00CA246B" w:rsidRDefault="007B06AC" w:rsidP="007B1E31">
      <w:pPr>
        <w:spacing w:after="0" w:line="240" w:lineRule="auto"/>
        <w:rPr>
          <w:rFonts w:ascii="Garamond" w:eastAsia="Times New Roman" w:hAnsi="Garamond" w:cs="Times New Roman"/>
          <w:b/>
          <w:color w:val="003B8E"/>
          <w:lang w:eastAsia="fr-FR"/>
        </w:rPr>
      </w:pPr>
    </w:p>
    <w:sectPr w:rsidR="007B06AC" w:rsidRPr="00CA246B" w:rsidSect="007B1E31">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86AA0" w14:textId="77777777" w:rsidR="000763C3" w:rsidRDefault="000763C3" w:rsidP="0027298A">
      <w:pPr>
        <w:spacing w:after="0" w:line="240" w:lineRule="auto"/>
      </w:pPr>
      <w:r>
        <w:separator/>
      </w:r>
    </w:p>
  </w:endnote>
  <w:endnote w:type="continuationSeparator" w:id="0">
    <w:p w14:paraId="26204598" w14:textId="77777777" w:rsidR="000763C3" w:rsidRDefault="000763C3" w:rsidP="00272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321146"/>
      <w:docPartObj>
        <w:docPartGallery w:val="Page Numbers (Bottom of Page)"/>
        <w:docPartUnique/>
      </w:docPartObj>
    </w:sdtPr>
    <w:sdtEndPr/>
    <w:sdtContent>
      <w:p w14:paraId="7BAF97D4" w14:textId="59DE8C8C" w:rsidR="000763C3" w:rsidRDefault="000763C3">
        <w:pPr>
          <w:pStyle w:val="Pieddepage"/>
          <w:jc w:val="right"/>
        </w:pPr>
        <w:r>
          <w:fldChar w:fldCharType="begin"/>
        </w:r>
        <w:r>
          <w:instrText>PAGE   \* MERGEFORMAT</w:instrText>
        </w:r>
        <w:r>
          <w:fldChar w:fldCharType="separate"/>
        </w:r>
        <w:r w:rsidR="00FC65EC">
          <w:rPr>
            <w:noProof/>
          </w:rPr>
          <w:t>7</w:t>
        </w:r>
        <w:r>
          <w:fldChar w:fldCharType="end"/>
        </w:r>
      </w:p>
    </w:sdtContent>
  </w:sdt>
  <w:p w14:paraId="1A6099ED" w14:textId="77777777" w:rsidR="000763C3" w:rsidRDefault="000763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2F97C" w14:textId="77777777" w:rsidR="000763C3" w:rsidRDefault="000763C3" w:rsidP="0027298A">
      <w:pPr>
        <w:spacing w:after="0" w:line="240" w:lineRule="auto"/>
      </w:pPr>
      <w:r>
        <w:separator/>
      </w:r>
    </w:p>
  </w:footnote>
  <w:footnote w:type="continuationSeparator" w:id="0">
    <w:p w14:paraId="3D72C976" w14:textId="77777777" w:rsidR="000763C3" w:rsidRDefault="000763C3" w:rsidP="0027298A">
      <w:pPr>
        <w:spacing w:after="0" w:line="240" w:lineRule="auto"/>
      </w:pPr>
      <w:r>
        <w:continuationSeparator/>
      </w:r>
    </w:p>
  </w:footnote>
  <w:footnote w:id="1">
    <w:p w14:paraId="433349A0" w14:textId="77777777" w:rsidR="000763C3" w:rsidRPr="00C85F2A" w:rsidRDefault="000763C3">
      <w:pPr>
        <w:pStyle w:val="Notedebasdepage"/>
      </w:pPr>
      <w:r>
        <w:rPr>
          <w:rStyle w:val="Appelnotedebasdep"/>
        </w:rPr>
        <w:footnoteRef/>
      </w:r>
      <w:r w:rsidRPr="00C85F2A">
        <w:t xml:space="preserve"> Exemption petits IRP si 80% (75% jusqu’à 2022) du secteur, calculé sur le total bilan, effectue des remises annuelles. </w:t>
      </w:r>
      <w:r>
        <w:t>N</w:t>
      </w:r>
      <w:r w:rsidRPr="00C85F2A">
        <w:t xml:space="preserve">on applicable en </w:t>
      </w:r>
      <w:r>
        <w:t>France.</w:t>
      </w:r>
    </w:p>
    <w:p w14:paraId="219C4C14" w14:textId="77777777" w:rsidR="000763C3" w:rsidRPr="00C85F2A" w:rsidRDefault="000763C3">
      <w:pPr>
        <w:pStyle w:val="Notedebasdepage"/>
      </w:pPr>
    </w:p>
  </w:footnote>
  <w:footnote w:id="2">
    <w:p w14:paraId="041F63A6" w14:textId="39144642" w:rsidR="000763C3" w:rsidRPr="000022EF" w:rsidRDefault="000763C3">
      <w:pPr>
        <w:pStyle w:val="Notedebasdepage"/>
      </w:pPr>
      <w:r>
        <w:rPr>
          <w:rStyle w:val="Appelnotedebasdep"/>
        </w:rPr>
        <w:footnoteRef/>
      </w:r>
      <w:r w:rsidRPr="00C85F2A">
        <w:t xml:space="preserve"> Exemption s</w:t>
      </w:r>
      <w:r>
        <w:t>i</w:t>
      </w:r>
      <w:r w:rsidRPr="00C85F2A">
        <w:t xml:space="preserve"> actifs gérés &lt; 25 M€ ou nombre de membres &lt;100, jusqu’à 20% (25% jusqu’à 2022) </w:t>
      </w:r>
      <w:r>
        <w:t>du secteur</w:t>
      </w:r>
      <w:r w:rsidRPr="00C85F2A">
        <w:t xml:space="preserve">. </w:t>
      </w:r>
      <w:proofErr w:type="spellStart"/>
      <w:r w:rsidRPr="000022EF">
        <w:t>Reporting</w:t>
      </w:r>
      <w:proofErr w:type="spellEnd"/>
      <w:r w:rsidRPr="000022EF">
        <w:t xml:space="preserve"> “agrégé”, non applicable en France.</w:t>
      </w:r>
    </w:p>
    <w:p w14:paraId="433E9C9D" w14:textId="77777777" w:rsidR="000763C3" w:rsidRPr="000022EF" w:rsidRDefault="000763C3">
      <w:pPr>
        <w:pStyle w:val="Notedebasdepage"/>
      </w:pPr>
    </w:p>
  </w:footnote>
  <w:footnote w:id="3">
    <w:p w14:paraId="540B0D8C" w14:textId="2AECD732" w:rsidR="000763C3" w:rsidRPr="00C85F2A" w:rsidRDefault="000763C3">
      <w:pPr>
        <w:pStyle w:val="Notedebasdepage"/>
      </w:pPr>
      <w:r>
        <w:rPr>
          <w:rStyle w:val="Appelnotedebasdep"/>
        </w:rPr>
        <w:footnoteRef/>
      </w:r>
      <w:r w:rsidRPr="00C85F2A">
        <w:t xml:space="preserve"> Report de la première remise (PFE.06.02 et PFE.06.03.)</w:t>
      </w:r>
      <w:r>
        <w:t xml:space="preserve"> T1 </w:t>
      </w:r>
      <w:r w:rsidRPr="00C85F2A">
        <w:t xml:space="preserve">2020. </w:t>
      </w:r>
      <w:r>
        <w:t>N</w:t>
      </w:r>
      <w:r w:rsidRPr="00C85F2A">
        <w:t xml:space="preserve">on applicable en </w:t>
      </w:r>
      <w:r>
        <w:t>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77003F6"/>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15:restartNumberingAfterBreak="0">
    <w:nsid w:val="0A866E4D"/>
    <w:multiLevelType w:val="hybridMultilevel"/>
    <w:tmpl w:val="58A65CE4"/>
    <w:lvl w:ilvl="0" w:tplc="040C000F">
      <w:start w:val="1"/>
      <w:numFmt w:val="decimal"/>
      <w:lvlText w:val="%1."/>
      <w:lvlJc w:val="left"/>
      <w:pPr>
        <w:ind w:left="720" w:hanging="360"/>
      </w:pPr>
      <w:rPr>
        <w:rFonts w:eastAsia="Times New Roman" w:cs="Times New Roman"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E6907"/>
    <w:multiLevelType w:val="hybridMultilevel"/>
    <w:tmpl w:val="F98CFF6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E755D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19BB44D0"/>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8" w15:restartNumberingAfterBreak="0">
    <w:nsid w:val="19CB441C"/>
    <w:multiLevelType w:val="hybridMultilevel"/>
    <w:tmpl w:val="73E6CC0E"/>
    <w:lvl w:ilvl="0" w:tplc="11EE4528">
      <w:start w:val="1"/>
      <w:numFmt w:val="decimal"/>
      <w:lvlText w:val="%1"/>
      <w:lvlJc w:val="left"/>
      <w:pPr>
        <w:ind w:left="1440" w:hanging="360"/>
      </w:pPr>
      <w:rPr>
        <w:rFonts w:ascii="Times New Roman" w:eastAsia="Times New Roman" w:hAnsi="Times New Roman" w:cs="Times New Roman"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3150FFA"/>
    <w:multiLevelType w:val="hybridMultilevel"/>
    <w:tmpl w:val="459E33CA"/>
    <w:lvl w:ilvl="0" w:tplc="5DF4D642">
      <w:start w:val="9"/>
      <w:numFmt w:val="bullet"/>
      <w:lvlText w:val="-"/>
      <w:lvlJc w:val="left"/>
      <w:pPr>
        <w:ind w:left="1080" w:hanging="360"/>
      </w:pPr>
      <w:rPr>
        <w:rFonts w:ascii="Times New Roman" w:eastAsia="Cambria"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A524E0C"/>
    <w:multiLevelType w:val="hybridMultilevel"/>
    <w:tmpl w:val="C130F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2" w15:restartNumberingAfterBreak="0">
    <w:nsid w:val="38304CE7"/>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BAC70AF"/>
    <w:multiLevelType w:val="hybridMultilevel"/>
    <w:tmpl w:val="23F837C6"/>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15:restartNumberingAfterBreak="0">
    <w:nsid w:val="3F444640"/>
    <w:multiLevelType w:val="hybridMultilevel"/>
    <w:tmpl w:val="AE3EF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4C44EE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7"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3A7322"/>
    <w:multiLevelType w:val="hybridMultilevel"/>
    <w:tmpl w:val="97BA5A00"/>
    <w:lvl w:ilvl="0" w:tplc="F01ACB94">
      <w:start w:val="16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5916B8"/>
    <w:multiLevelType w:val="hybridMultilevel"/>
    <w:tmpl w:val="1D8AA6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44298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1"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D0B62C5"/>
    <w:multiLevelType w:val="hybridMultilevel"/>
    <w:tmpl w:val="CA547886"/>
    <w:lvl w:ilvl="0" w:tplc="E1A40C72">
      <w:start w:val="15"/>
      <w:numFmt w:val="bullet"/>
      <w:lvlText w:val=""/>
      <w:lvlJc w:val="left"/>
      <w:pPr>
        <w:ind w:left="720" w:hanging="360"/>
      </w:pPr>
      <w:rPr>
        <w:rFonts w:ascii="Wingdings" w:eastAsiaTheme="minorHAnsi" w:hAnsi="Wingdings" w:cstheme="minorBidi" w:hint="default"/>
        <w:b/>
        <w:sz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950169D"/>
    <w:multiLevelType w:val="hybridMultilevel"/>
    <w:tmpl w:val="0D5CF6EE"/>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66DD0152"/>
    <w:multiLevelType w:val="hybridMultilevel"/>
    <w:tmpl w:val="23F837C6"/>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1353F78"/>
    <w:multiLevelType w:val="hybridMultilevel"/>
    <w:tmpl w:val="13FAA43C"/>
    <w:lvl w:ilvl="0" w:tplc="77882A4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590DB6"/>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2"/>
  </w:num>
  <w:num w:numId="2">
    <w:abstractNumId w:val="18"/>
  </w:num>
  <w:num w:numId="3">
    <w:abstractNumId w:val="17"/>
  </w:num>
  <w:num w:numId="4">
    <w:abstractNumId w:val="23"/>
  </w:num>
  <w:num w:numId="5">
    <w:abstractNumId w:val="26"/>
  </w:num>
  <w:num w:numId="6">
    <w:abstractNumId w:val="4"/>
  </w:num>
  <w:num w:numId="7">
    <w:abstractNumId w:val="21"/>
  </w:num>
  <w:num w:numId="8">
    <w:abstractNumId w:val="13"/>
  </w:num>
  <w:num w:numId="9">
    <w:abstractNumId w:val="27"/>
  </w:num>
  <w:num w:numId="10">
    <w:abstractNumId w:val="28"/>
  </w:num>
  <w:num w:numId="11">
    <w:abstractNumId w:val="8"/>
  </w:num>
  <w:num w:numId="12">
    <w:abstractNumId w:val="6"/>
  </w:num>
  <w:num w:numId="13">
    <w:abstractNumId w:val="5"/>
  </w:num>
  <w:num w:numId="14">
    <w:abstractNumId w:val="9"/>
  </w:num>
  <w:num w:numId="15">
    <w:abstractNumId w:val="15"/>
  </w:num>
  <w:num w:numId="16">
    <w:abstractNumId w:val="19"/>
  </w:num>
  <w:num w:numId="17">
    <w:abstractNumId w:val="10"/>
  </w:num>
  <w:num w:numId="18">
    <w:abstractNumId w:val="12"/>
  </w:num>
  <w:num w:numId="19">
    <w:abstractNumId w:val="1"/>
  </w:num>
  <w:num w:numId="20">
    <w:abstractNumId w:val="11"/>
  </w:num>
  <w:num w:numId="21">
    <w:abstractNumId w:val="3"/>
  </w:num>
  <w:num w:numId="22">
    <w:abstractNumId w:val="0"/>
  </w:num>
  <w:num w:numId="23">
    <w:abstractNumId w:val="16"/>
  </w:num>
  <w:num w:numId="24">
    <w:abstractNumId w:val="20"/>
  </w:num>
  <w:num w:numId="25">
    <w:abstractNumId w:val="7"/>
  </w:num>
  <w:num w:numId="26">
    <w:abstractNumId w:val="25"/>
  </w:num>
  <w:num w:numId="27">
    <w:abstractNumId w:val="14"/>
  </w:num>
  <w:num w:numId="28">
    <w:abstractNumId w:val="2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889"/>
    <w:rsid w:val="000022EF"/>
    <w:rsid w:val="00003396"/>
    <w:rsid w:val="00005DCA"/>
    <w:rsid w:val="00013832"/>
    <w:rsid w:val="000207BB"/>
    <w:rsid w:val="000213C6"/>
    <w:rsid w:val="00031451"/>
    <w:rsid w:val="000317D6"/>
    <w:rsid w:val="000323BF"/>
    <w:rsid w:val="00035D5A"/>
    <w:rsid w:val="000372C5"/>
    <w:rsid w:val="00040696"/>
    <w:rsid w:val="00040C8A"/>
    <w:rsid w:val="000548F8"/>
    <w:rsid w:val="00054A51"/>
    <w:rsid w:val="00056571"/>
    <w:rsid w:val="0006132B"/>
    <w:rsid w:val="000616F6"/>
    <w:rsid w:val="000652EC"/>
    <w:rsid w:val="000721D4"/>
    <w:rsid w:val="00073FE6"/>
    <w:rsid w:val="000763C3"/>
    <w:rsid w:val="00076C3A"/>
    <w:rsid w:val="0007704C"/>
    <w:rsid w:val="00086423"/>
    <w:rsid w:val="0008644D"/>
    <w:rsid w:val="000873ED"/>
    <w:rsid w:val="0009078E"/>
    <w:rsid w:val="0009364E"/>
    <w:rsid w:val="00093F50"/>
    <w:rsid w:val="00096A3B"/>
    <w:rsid w:val="000976EB"/>
    <w:rsid w:val="000A0488"/>
    <w:rsid w:val="000A0F0D"/>
    <w:rsid w:val="000B613E"/>
    <w:rsid w:val="000C3A2D"/>
    <w:rsid w:val="000C4272"/>
    <w:rsid w:val="000D789F"/>
    <w:rsid w:val="000D7C4F"/>
    <w:rsid w:val="000E275D"/>
    <w:rsid w:val="000E3356"/>
    <w:rsid w:val="000E4EE8"/>
    <w:rsid w:val="000E5DF0"/>
    <w:rsid w:val="000F0992"/>
    <w:rsid w:val="000F3154"/>
    <w:rsid w:val="000F33C9"/>
    <w:rsid w:val="000F35F3"/>
    <w:rsid w:val="000F418D"/>
    <w:rsid w:val="000F4479"/>
    <w:rsid w:val="000F492B"/>
    <w:rsid w:val="000F4B6E"/>
    <w:rsid w:val="001019EB"/>
    <w:rsid w:val="0010274F"/>
    <w:rsid w:val="00107C86"/>
    <w:rsid w:val="00110D4D"/>
    <w:rsid w:val="001128AB"/>
    <w:rsid w:val="001146B7"/>
    <w:rsid w:val="0012296F"/>
    <w:rsid w:val="00133260"/>
    <w:rsid w:val="00144E71"/>
    <w:rsid w:val="00153905"/>
    <w:rsid w:val="00177CBF"/>
    <w:rsid w:val="00181133"/>
    <w:rsid w:val="00185836"/>
    <w:rsid w:val="00185E6C"/>
    <w:rsid w:val="00190110"/>
    <w:rsid w:val="00190E37"/>
    <w:rsid w:val="00194EC3"/>
    <w:rsid w:val="001A0E25"/>
    <w:rsid w:val="001A444B"/>
    <w:rsid w:val="001A48CE"/>
    <w:rsid w:val="001A4C9B"/>
    <w:rsid w:val="001A4CF1"/>
    <w:rsid w:val="001B03FB"/>
    <w:rsid w:val="001B2D5E"/>
    <w:rsid w:val="001B4058"/>
    <w:rsid w:val="001B49D8"/>
    <w:rsid w:val="001B4CAB"/>
    <w:rsid w:val="001B69DA"/>
    <w:rsid w:val="001C09D6"/>
    <w:rsid w:val="001C0C7A"/>
    <w:rsid w:val="001C3298"/>
    <w:rsid w:val="001D196B"/>
    <w:rsid w:val="001D2184"/>
    <w:rsid w:val="001D30AA"/>
    <w:rsid w:val="001E19FF"/>
    <w:rsid w:val="001E23BF"/>
    <w:rsid w:val="001E3BE4"/>
    <w:rsid w:val="001E437B"/>
    <w:rsid w:val="001F1378"/>
    <w:rsid w:val="001F3991"/>
    <w:rsid w:val="001F3F66"/>
    <w:rsid w:val="001F7059"/>
    <w:rsid w:val="001F7454"/>
    <w:rsid w:val="00202D55"/>
    <w:rsid w:val="002041FE"/>
    <w:rsid w:val="00212DFC"/>
    <w:rsid w:val="00213048"/>
    <w:rsid w:val="00214416"/>
    <w:rsid w:val="00217721"/>
    <w:rsid w:val="002263BA"/>
    <w:rsid w:val="00234A67"/>
    <w:rsid w:val="00235D93"/>
    <w:rsid w:val="002360CB"/>
    <w:rsid w:val="002369A4"/>
    <w:rsid w:val="002405A1"/>
    <w:rsid w:val="002464D6"/>
    <w:rsid w:val="0025212E"/>
    <w:rsid w:val="0025604B"/>
    <w:rsid w:val="00266F25"/>
    <w:rsid w:val="0027298A"/>
    <w:rsid w:val="00276965"/>
    <w:rsid w:val="0028462F"/>
    <w:rsid w:val="002922EA"/>
    <w:rsid w:val="00294CB2"/>
    <w:rsid w:val="002B2D22"/>
    <w:rsid w:val="002B464F"/>
    <w:rsid w:val="002B4904"/>
    <w:rsid w:val="002C3222"/>
    <w:rsid w:val="002C44C9"/>
    <w:rsid w:val="002C7AE5"/>
    <w:rsid w:val="002D6B3E"/>
    <w:rsid w:val="002E2C1D"/>
    <w:rsid w:val="002E5645"/>
    <w:rsid w:val="002E6FEA"/>
    <w:rsid w:val="002E7B08"/>
    <w:rsid w:val="002E7FFB"/>
    <w:rsid w:val="002F2EE6"/>
    <w:rsid w:val="002F51D4"/>
    <w:rsid w:val="00300526"/>
    <w:rsid w:val="00310737"/>
    <w:rsid w:val="00315175"/>
    <w:rsid w:val="00320C9E"/>
    <w:rsid w:val="00320F22"/>
    <w:rsid w:val="00323AEE"/>
    <w:rsid w:val="0032488C"/>
    <w:rsid w:val="003256DA"/>
    <w:rsid w:val="0032645F"/>
    <w:rsid w:val="00330334"/>
    <w:rsid w:val="003318B2"/>
    <w:rsid w:val="00345E7D"/>
    <w:rsid w:val="0036009A"/>
    <w:rsid w:val="00363C5F"/>
    <w:rsid w:val="00377B53"/>
    <w:rsid w:val="00386D20"/>
    <w:rsid w:val="0039498E"/>
    <w:rsid w:val="003A11F1"/>
    <w:rsid w:val="003B29AB"/>
    <w:rsid w:val="003B4F42"/>
    <w:rsid w:val="003C0A7A"/>
    <w:rsid w:val="003C0D9F"/>
    <w:rsid w:val="003C19BD"/>
    <w:rsid w:val="003C209F"/>
    <w:rsid w:val="003C54EC"/>
    <w:rsid w:val="003D2E43"/>
    <w:rsid w:val="003D5DB7"/>
    <w:rsid w:val="003E0083"/>
    <w:rsid w:val="003E271D"/>
    <w:rsid w:val="003E3BDA"/>
    <w:rsid w:val="003E537A"/>
    <w:rsid w:val="003F1542"/>
    <w:rsid w:val="003F1D49"/>
    <w:rsid w:val="003F676F"/>
    <w:rsid w:val="00402184"/>
    <w:rsid w:val="004072D0"/>
    <w:rsid w:val="00407B3A"/>
    <w:rsid w:val="00410635"/>
    <w:rsid w:val="004136DE"/>
    <w:rsid w:val="004206D0"/>
    <w:rsid w:val="00443AA6"/>
    <w:rsid w:val="0044462F"/>
    <w:rsid w:val="0045094D"/>
    <w:rsid w:val="0045384E"/>
    <w:rsid w:val="0045418E"/>
    <w:rsid w:val="00454DB0"/>
    <w:rsid w:val="00457D85"/>
    <w:rsid w:val="00462C72"/>
    <w:rsid w:val="00466243"/>
    <w:rsid w:val="004724B0"/>
    <w:rsid w:val="004770A8"/>
    <w:rsid w:val="004811CA"/>
    <w:rsid w:val="00481587"/>
    <w:rsid w:val="0048200B"/>
    <w:rsid w:val="0049233B"/>
    <w:rsid w:val="0049364C"/>
    <w:rsid w:val="00495FB5"/>
    <w:rsid w:val="004973C2"/>
    <w:rsid w:val="004A001C"/>
    <w:rsid w:val="004A1F89"/>
    <w:rsid w:val="004A4640"/>
    <w:rsid w:val="004C0735"/>
    <w:rsid w:val="004C1E7C"/>
    <w:rsid w:val="004D0CD0"/>
    <w:rsid w:val="004D4B04"/>
    <w:rsid w:val="004E4F00"/>
    <w:rsid w:val="004E6970"/>
    <w:rsid w:val="004E6BA3"/>
    <w:rsid w:val="004E79CD"/>
    <w:rsid w:val="004E7BD4"/>
    <w:rsid w:val="004F797B"/>
    <w:rsid w:val="00503E70"/>
    <w:rsid w:val="00520301"/>
    <w:rsid w:val="0052457E"/>
    <w:rsid w:val="0053220A"/>
    <w:rsid w:val="00532E8A"/>
    <w:rsid w:val="00554D6E"/>
    <w:rsid w:val="00557370"/>
    <w:rsid w:val="00557F0D"/>
    <w:rsid w:val="00560083"/>
    <w:rsid w:val="005742CE"/>
    <w:rsid w:val="00585A29"/>
    <w:rsid w:val="00590A0F"/>
    <w:rsid w:val="005920E3"/>
    <w:rsid w:val="00596298"/>
    <w:rsid w:val="005A230C"/>
    <w:rsid w:val="005A292C"/>
    <w:rsid w:val="005A2E31"/>
    <w:rsid w:val="005B7122"/>
    <w:rsid w:val="005D059A"/>
    <w:rsid w:val="005E0E95"/>
    <w:rsid w:val="005E3844"/>
    <w:rsid w:val="005E5172"/>
    <w:rsid w:val="005E5A7D"/>
    <w:rsid w:val="005F18B1"/>
    <w:rsid w:val="005F611B"/>
    <w:rsid w:val="00600AB3"/>
    <w:rsid w:val="00606578"/>
    <w:rsid w:val="00611889"/>
    <w:rsid w:val="00611F68"/>
    <w:rsid w:val="00613472"/>
    <w:rsid w:val="00615CE9"/>
    <w:rsid w:val="006226D3"/>
    <w:rsid w:val="00627CD9"/>
    <w:rsid w:val="00632452"/>
    <w:rsid w:val="0063571D"/>
    <w:rsid w:val="00635C77"/>
    <w:rsid w:val="00642282"/>
    <w:rsid w:val="0064670A"/>
    <w:rsid w:val="00653117"/>
    <w:rsid w:val="00654612"/>
    <w:rsid w:val="00666BB2"/>
    <w:rsid w:val="00667229"/>
    <w:rsid w:val="006827FC"/>
    <w:rsid w:val="00683FF6"/>
    <w:rsid w:val="00684618"/>
    <w:rsid w:val="00685CDA"/>
    <w:rsid w:val="00687DE6"/>
    <w:rsid w:val="0069391B"/>
    <w:rsid w:val="006A0585"/>
    <w:rsid w:val="006A37C6"/>
    <w:rsid w:val="006A577B"/>
    <w:rsid w:val="006B27BA"/>
    <w:rsid w:val="006B31A8"/>
    <w:rsid w:val="006B6862"/>
    <w:rsid w:val="006B7F30"/>
    <w:rsid w:val="006C0746"/>
    <w:rsid w:val="006C0A68"/>
    <w:rsid w:val="006C3B51"/>
    <w:rsid w:val="006C3D50"/>
    <w:rsid w:val="006C448B"/>
    <w:rsid w:val="006D7AEA"/>
    <w:rsid w:val="006E0DAC"/>
    <w:rsid w:val="006E693F"/>
    <w:rsid w:val="006F18E5"/>
    <w:rsid w:val="006F4F35"/>
    <w:rsid w:val="006F636E"/>
    <w:rsid w:val="006F7302"/>
    <w:rsid w:val="00704B07"/>
    <w:rsid w:val="00711AA7"/>
    <w:rsid w:val="0071621B"/>
    <w:rsid w:val="00725C2A"/>
    <w:rsid w:val="007276FF"/>
    <w:rsid w:val="0073374F"/>
    <w:rsid w:val="00740345"/>
    <w:rsid w:val="007453B7"/>
    <w:rsid w:val="00751442"/>
    <w:rsid w:val="00756A66"/>
    <w:rsid w:val="00763EC7"/>
    <w:rsid w:val="007776E5"/>
    <w:rsid w:val="00792F3D"/>
    <w:rsid w:val="007951F6"/>
    <w:rsid w:val="007962B2"/>
    <w:rsid w:val="007A1811"/>
    <w:rsid w:val="007A5095"/>
    <w:rsid w:val="007A7784"/>
    <w:rsid w:val="007B06AC"/>
    <w:rsid w:val="007B0E74"/>
    <w:rsid w:val="007B1DB4"/>
    <w:rsid w:val="007B1E31"/>
    <w:rsid w:val="007B364F"/>
    <w:rsid w:val="007C0354"/>
    <w:rsid w:val="007C5BA5"/>
    <w:rsid w:val="007D46A0"/>
    <w:rsid w:val="007D587C"/>
    <w:rsid w:val="007D720F"/>
    <w:rsid w:val="007E0792"/>
    <w:rsid w:val="007E113D"/>
    <w:rsid w:val="007E4715"/>
    <w:rsid w:val="007E5AAD"/>
    <w:rsid w:val="007F77B4"/>
    <w:rsid w:val="00810013"/>
    <w:rsid w:val="00815115"/>
    <w:rsid w:val="008171AD"/>
    <w:rsid w:val="00821113"/>
    <w:rsid w:val="00841DBD"/>
    <w:rsid w:val="00845132"/>
    <w:rsid w:val="00847556"/>
    <w:rsid w:val="008512AB"/>
    <w:rsid w:val="00852B10"/>
    <w:rsid w:val="008531F8"/>
    <w:rsid w:val="0085470D"/>
    <w:rsid w:val="00857CF4"/>
    <w:rsid w:val="00865598"/>
    <w:rsid w:val="00874C26"/>
    <w:rsid w:val="00881C2A"/>
    <w:rsid w:val="008826DF"/>
    <w:rsid w:val="00883874"/>
    <w:rsid w:val="00883C51"/>
    <w:rsid w:val="00897EBC"/>
    <w:rsid w:val="008A07B2"/>
    <w:rsid w:val="008A427F"/>
    <w:rsid w:val="008A5580"/>
    <w:rsid w:val="008B0C55"/>
    <w:rsid w:val="008B5E4D"/>
    <w:rsid w:val="008C0320"/>
    <w:rsid w:val="008C051F"/>
    <w:rsid w:val="008D7237"/>
    <w:rsid w:val="008D7890"/>
    <w:rsid w:val="008E0951"/>
    <w:rsid w:val="008E3167"/>
    <w:rsid w:val="008F0FF8"/>
    <w:rsid w:val="008F4AEE"/>
    <w:rsid w:val="009057BD"/>
    <w:rsid w:val="009120A5"/>
    <w:rsid w:val="00915D7B"/>
    <w:rsid w:val="009168E6"/>
    <w:rsid w:val="00925CF0"/>
    <w:rsid w:val="00926FDE"/>
    <w:rsid w:val="00932178"/>
    <w:rsid w:val="00935CE2"/>
    <w:rsid w:val="009419BC"/>
    <w:rsid w:val="00942E64"/>
    <w:rsid w:val="00945642"/>
    <w:rsid w:val="00956929"/>
    <w:rsid w:val="009571BD"/>
    <w:rsid w:val="00964E46"/>
    <w:rsid w:val="009709CD"/>
    <w:rsid w:val="00972745"/>
    <w:rsid w:val="009804EC"/>
    <w:rsid w:val="00981E78"/>
    <w:rsid w:val="00982091"/>
    <w:rsid w:val="0098295B"/>
    <w:rsid w:val="00983911"/>
    <w:rsid w:val="009908B8"/>
    <w:rsid w:val="00992DED"/>
    <w:rsid w:val="009A20E8"/>
    <w:rsid w:val="009B40ED"/>
    <w:rsid w:val="009B4BEB"/>
    <w:rsid w:val="009C4250"/>
    <w:rsid w:val="009D088B"/>
    <w:rsid w:val="009E21B2"/>
    <w:rsid w:val="009E21D6"/>
    <w:rsid w:val="009E4BEA"/>
    <w:rsid w:val="009E5526"/>
    <w:rsid w:val="009E7EA2"/>
    <w:rsid w:val="009F2CA6"/>
    <w:rsid w:val="009F40BE"/>
    <w:rsid w:val="009F70ED"/>
    <w:rsid w:val="00A03BDE"/>
    <w:rsid w:val="00A1187A"/>
    <w:rsid w:val="00A148CC"/>
    <w:rsid w:val="00A20DD1"/>
    <w:rsid w:val="00A229C4"/>
    <w:rsid w:val="00A265B1"/>
    <w:rsid w:val="00A275FD"/>
    <w:rsid w:val="00A32026"/>
    <w:rsid w:val="00A34C52"/>
    <w:rsid w:val="00A35239"/>
    <w:rsid w:val="00A400B9"/>
    <w:rsid w:val="00A51514"/>
    <w:rsid w:val="00A53D1D"/>
    <w:rsid w:val="00A56311"/>
    <w:rsid w:val="00A563E6"/>
    <w:rsid w:val="00A647C1"/>
    <w:rsid w:val="00A7104D"/>
    <w:rsid w:val="00A75645"/>
    <w:rsid w:val="00A75D36"/>
    <w:rsid w:val="00A761EA"/>
    <w:rsid w:val="00A81CDA"/>
    <w:rsid w:val="00A84ADB"/>
    <w:rsid w:val="00A90288"/>
    <w:rsid w:val="00A93F83"/>
    <w:rsid w:val="00AA2ECE"/>
    <w:rsid w:val="00AB5ADF"/>
    <w:rsid w:val="00AC1F8F"/>
    <w:rsid w:val="00AC3659"/>
    <w:rsid w:val="00AC6FA7"/>
    <w:rsid w:val="00AD0D3E"/>
    <w:rsid w:val="00AD1B79"/>
    <w:rsid w:val="00AD4D42"/>
    <w:rsid w:val="00AD59D6"/>
    <w:rsid w:val="00AD6F47"/>
    <w:rsid w:val="00AE05DA"/>
    <w:rsid w:val="00AE60B9"/>
    <w:rsid w:val="00AF1CA9"/>
    <w:rsid w:val="00B11949"/>
    <w:rsid w:val="00B135D0"/>
    <w:rsid w:val="00B15E42"/>
    <w:rsid w:val="00B160C8"/>
    <w:rsid w:val="00B16E2B"/>
    <w:rsid w:val="00B170E1"/>
    <w:rsid w:val="00B21AD9"/>
    <w:rsid w:val="00B22FF6"/>
    <w:rsid w:val="00B26303"/>
    <w:rsid w:val="00B2762B"/>
    <w:rsid w:val="00B46908"/>
    <w:rsid w:val="00B478FF"/>
    <w:rsid w:val="00B5069A"/>
    <w:rsid w:val="00B5198E"/>
    <w:rsid w:val="00B56606"/>
    <w:rsid w:val="00B60DF0"/>
    <w:rsid w:val="00B6550F"/>
    <w:rsid w:val="00B67BF6"/>
    <w:rsid w:val="00B71629"/>
    <w:rsid w:val="00B77593"/>
    <w:rsid w:val="00B87A7A"/>
    <w:rsid w:val="00B92E3C"/>
    <w:rsid w:val="00B9483B"/>
    <w:rsid w:val="00B9796F"/>
    <w:rsid w:val="00BA179F"/>
    <w:rsid w:val="00BB2B41"/>
    <w:rsid w:val="00BB3E04"/>
    <w:rsid w:val="00BB5D16"/>
    <w:rsid w:val="00BB6CD0"/>
    <w:rsid w:val="00BC327B"/>
    <w:rsid w:val="00BD0F70"/>
    <w:rsid w:val="00BD69F3"/>
    <w:rsid w:val="00BD7645"/>
    <w:rsid w:val="00BD7F8C"/>
    <w:rsid w:val="00BE0955"/>
    <w:rsid w:val="00BE0B53"/>
    <w:rsid w:val="00BE0D38"/>
    <w:rsid w:val="00BF1128"/>
    <w:rsid w:val="00BF5617"/>
    <w:rsid w:val="00C02198"/>
    <w:rsid w:val="00C03BD6"/>
    <w:rsid w:val="00C1109D"/>
    <w:rsid w:val="00C15071"/>
    <w:rsid w:val="00C20B08"/>
    <w:rsid w:val="00C22CBC"/>
    <w:rsid w:val="00C24B1A"/>
    <w:rsid w:val="00C30E60"/>
    <w:rsid w:val="00C378A0"/>
    <w:rsid w:val="00C50C37"/>
    <w:rsid w:val="00C535A2"/>
    <w:rsid w:val="00C55724"/>
    <w:rsid w:val="00C6357D"/>
    <w:rsid w:val="00C7292B"/>
    <w:rsid w:val="00C838EC"/>
    <w:rsid w:val="00C858DF"/>
    <w:rsid w:val="00C85F2A"/>
    <w:rsid w:val="00C9590B"/>
    <w:rsid w:val="00CA246B"/>
    <w:rsid w:val="00CA6D61"/>
    <w:rsid w:val="00CB2D36"/>
    <w:rsid w:val="00CB5C80"/>
    <w:rsid w:val="00CC6AE0"/>
    <w:rsid w:val="00CD33E4"/>
    <w:rsid w:val="00CD46E9"/>
    <w:rsid w:val="00CD4C41"/>
    <w:rsid w:val="00CE144D"/>
    <w:rsid w:val="00CE7093"/>
    <w:rsid w:val="00CF07CF"/>
    <w:rsid w:val="00CF50C6"/>
    <w:rsid w:val="00D05A02"/>
    <w:rsid w:val="00D24ED1"/>
    <w:rsid w:val="00D251B1"/>
    <w:rsid w:val="00D269A9"/>
    <w:rsid w:val="00D27A41"/>
    <w:rsid w:val="00D33224"/>
    <w:rsid w:val="00D359DA"/>
    <w:rsid w:val="00D36CE0"/>
    <w:rsid w:val="00D37AD9"/>
    <w:rsid w:val="00D44476"/>
    <w:rsid w:val="00D46263"/>
    <w:rsid w:val="00D5319D"/>
    <w:rsid w:val="00D540F0"/>
    <w:rsid w:val="00D7224D"/>
    <w:rsid w:val="00D7237E"/>
    <w:rsid w:val="00D725F4"/>
    <w:rsid w:val="00D72805"/>
    <w:rsid w:val="00D73E44"/>
    <w:rsid w:val="00D7449B"/>
    <w:rsid w:val="00D869E6"/>
    <w:rsid w:val="00D927FE"/>
    <w:rsid w:val="00D92A70"/>
    <w:rsid w:val="00D932D6"/>
    <w:rsid w:val="00DB4593"/>
    <w:rsid w:val="00DB498A"/>
    <w:rsid w:val="00DC2A0F"/>
    <w:rsid w:val="00DC3002"/>
    <w:rsid w:val="00DC502D"/>
    <w:rsid w:val="00DD3624"/>
    <w:rsid w:val="00DF0AF2"/>
    <w:rsid w:val="00DF4D2D"/>
    <w:rsid w:val="00DF6719"/>
    <w:rsid w:val="00E0266F"/>
    <w:rsid w:val="00E04A0F"/>
    <w:rsid w:val="00E136D9"/>
    <w:rsid w:val="00E1455D"/>
    <w:rsid w:val="00E17BB9"/>
    <w:rsid w:val="00E21F64"/>
    <w:rsid w:val="00E24DAF"/>
    <w:rsid w:val="00E3026C"/>
    <w:rsid w:val="00E3181E"/>
    <w:rsid w:val="00E41E02"/>
    <w:rsid w:val="00E4235F"/>
    <w:rsid w:val="00E4243A"/>
    <w:rsid w:val="00E4378D"/>
    <w:rsid w:val="00E4600D"/>
    <w:rsid w:val="00E54704"/>
    <w:rsid w:val="00E66D3C"/>
    <w:rsid w:val="00E70625"/>
    <w:rsid w:val="00E72499"/>
    <w:rsid w:val="00E742E4"/>
    <w:rsid w:val="00E773E3"/>
    <w:rsid w:val="00E84AA5"/>
    <w:rsid w:val="00E85284"/>
    <w:rsid w:val="00E95430"/>
    <w:rsid w:val="00E966D7"/>
    <w:rsid w:val="00EA4FF7"/>
    <w:rsid w:val="00EB0BC6"/>
    <w:rsid w:val="00EB29AE"/>
    <w:rsid w:val="00EC1867"/>
    <w:rsid w:val="00EC495C"/>
    <w:rsid w:val="00EC7E0D"/>
    <w:rsid w:val="00ED4F3F"/>
    <w:rsid w:val="00EE1248"/>
    <w:rsid w:val="00EE26F9"/>
    <w:rsid w:val="00EE2CB9"/>
    <w:rsid w:val="00EE4818"/>
    <w:rsid w:val="00EE5359"/>
    <w:rsid w:val="00EF36D1"/>
    <w:rsid w:val="00EF423C"/>
    <w:rsid w:val="00EF5466"/>
    <w:rsid w:val="00F03A2B"/>
    <w:rsid w:val="00F056E4"/>
    <w:rsid w:val="00F0740E"/>
    <w:rsid w:val="00F1130D"/>
    <w:rsid w:val="00F13693"/>
    <w:rsid w:val="00F13C7A"/>
    <w:rsid w:val="00F16E65"/>
    <w:rsid w:val="00F217DB"/>
    <w:rsid w:val="00F23CC0"/>
    <w:rsid w:val="00F27198"/>
    <w:rsid w:val="00F30B87"/>
    <w:rsid w:val="00F419FA"/>
    <w:rsid w:val="00F43000"/>
    <w:rsid w:val="00F477D5"/>
    <w:rsid w:val="00F516B7"/>
    <w:rsid w:val="00F53226"/>
    <w:rsid w:val="00F64191"/>
    <w:rsid w:val="00F658B9"/>
    <w:rsid w:val="00F7655D"/>
    <w:rsid w:val="00F76DFB"/>
    <w:rsid w:val="00F82260"/>
    <w:rsid w:val="00F82E3D"/>
    <w:rsid w:val="00F95B59"/>
    <w:rsid w:val="00F97004"/>
    <w:rsid w:val="00F9733F"/>
    <w:rsid w:val="00FA2006"/>
    <w:rsid w:val="00FA2E46"/>
    <w:rsid w:val="00FA79BC"/>
    <w:rsid w:val="00FB0D7A"/>
    <w:rsid w:val="00FB6328"/>
    <w:rsid w:val="00FB6ABB"/>
    <w:rsid w:val="00FB773F"/>
    <w:rsid w:val="00FC13BC"/>
    <w:rsid w:val="00FC5394"/>
    <w:rsid w:val="00FC65EC"/>
    <w:rsid w:val="00FC7227"/>
    <w:rsid w:val="00FD28CF"/>
    <w:rsid w:val="00FE0784"/>
    <w:rsid w:val="00FE0AC7"/>
    <w:rsid w:val="00FE137F"/>
    <w:rsid w:val="00FE686D"/>
    <w:rsid w:val="00FF1377"/>
    <w:rsid w:val="00FF3D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24DCD"/>
  <w15:docId w15:val="{F3F047F2-7D67-47C6-BC96-FBB06428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051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515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949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498E"/>
    <w:rPr>
      <w:rFonts w:ascii="Tahoma" w:hAnsi="Tahoma" w:cs="Tahoma"/>
      <w:sz w:val="16"/>
      <w:szCs w:val="16"/>
    </w:rPr>
  </w:style>
  <w:style w:type="character" w:styleId="Lienhypertexte">
    <w:name w:val="Hyperlink"/>
    <w:basedOn w:val="Policepardfaut"/>
    <w:uiPriority w:val="99"/>
    <w:unhideWhenUsed/>
    <w:rsid w:val="00ED4F3F"/>
    <w:rPr>
      <w:color w:val="0000FF" w:themeColor="hyperlink"/>
      <w:u w:val="single"/>
    </w:rPr>
  </w:style>
  <w:style w:type="paragraph" w:styleId="En-tte">
    <w:name w:val="header"/>
    <w:basedOn w:val="Normal"/>
    <w:link w:val="En-tteCar"/>
    <w:uiPriority w:val="99"/>
    <w:unhideWhenUsed/>
    <w:rsid w:val="0027298A"/>
    <w:pPr>
      <w:tabs>
        <w:tab w:val="center" w:pos="4536"/>
        <w:tab w:val="right" w:pos="9072"/>
      </w:tabs>
      <w:spacing w:after="0" w:line="240" w:lineRule="auto"/>
    </w:pPr>
  </w:style>
  <w:style w:type="character" w:customStyle="1" w:styleId="En-tteCar">
    <w:name w:val="En-tête Car"/>
    <w:basedOn w:val="Policepardfaut"/>
    <w:link w:val="En-tte"/>
    <w:uiPriority w:val="99"/>
    <w:rsid w:val="0027298A"/>
  </w:style>
  <w:style w:type="paragraph" w:styleId="Pieddepage">
    <w:name w:val="footer"/>
    <w:basedOn w:val="Normal"/>
    <w:link w:val="PieddepageCar"/>
    <w:uiPriority w:val="99"/>
    <w:unhideWhenUsed/>
    <w:rsid w:val="002729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298A"/>
  </w:style>
  <w:style w:type="paragraph" w:styleId="Paragraphedeliste">
    <w:name w:val="List Paragraph"/>
    <w:basedOn w:val="Normal"/>
    <w:uiPriority w:val="34"/>
    <w:qFormat/>
    <w:rsid w:val="007962B2"/>
    <w:pPr>
      <w:ind w:left="720"/>
      <w:contextualSpacing/>
    </w:pPr>
  </w:style>
  <w:style w:type="paragraph" w:customStyle="1" w:styleId="Paragraphedeliste1">
    <w:name w:val="Paragraphe de liste1"/>
    <w:basedOn w:val="Normal"/>
    <w:rsid w:val="008A07B2"/>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402184"/>
    <w:rPr>
      <w:sz w:val="16"/>
      <w:szCs w:val="16"/>
    </w:rPr>
  </w:style>
  <w:style w:type="paragraph" w:styleId="Commentaire">
    <w:name w:val="annotation text"/>
    <w:basedOn w:val="Normal"/>
    <w:link w:val="CommentaireCar"/>
    <w:uiPriority w:val="99"/>
    <w:semiHidden/>
    <w:unhideWhenUsed/>
    <w:rsid w:val="00402184"/>
    <w:pPr>
      <w:spacing w:line="240" w:lineRule="auto"/>
    </w:pPr>
    <w:rPr>
      <w:sz w:val="20"/>
      <w:szCs w:val="20"/>
    </w:rPr>
  </w:style>
  <w:style w:type="character" w:customStyle="1" w:styleId="CommentaireCar">
    <w:name w:val="Commentaire Car"/>
    <w:basedOn w:val="Policepardfaut"/>
    <w:link w:val="Commentaire"/>
    <w:uiPriority w:val="99"/>
    <w:semiHidden/>
    <w:rsid w:val="00402184"/>
    <w:rPr>
      <w:sz w:val="20"/>
      <w:szCs w:val="20"/>
    </w:rPr>
  </w:style>
  <w:style w:type="paragraph" w:styleId="Objetducommentaire">
    <w:name w:val="annotation subject"/>
    <w:basedOn w:val="Commentaire"/>
    <w:next w:val="Commentaire"/>
    <w:link w:val="ObjetducommentaireCar"/>
    <w:uiPriority w:val="99"/>
    <w:semiHidden/>
    <w:unhideWhenUsed/>
    <w:rsid w:val="00402184"/>
    <w:rPr>
      <w:b/>
      <w:bCs/>
    </w:rPr>
  </w:style>
  <w:style w:type="character" w:customStyle="1" w:styleId="ObjetducommentaireCar">
    <w:name w:val="Objet du commentaire Car"/>
    <w:basedOn w:val="CommentaireCar"/>
    <w:link w:val="Objetducommentaire"/>
    <w:uiPriority w:val="99"/>
    <w:semiHidden/>
    <w:rsid w:val="00402184"/>
    <w:rPr>
      <w:b/>
      <w:bCs/>
      <w:sz w:val="20"/>
      <w:szCs w:val="20"/>
    </w:rPr>
  </w:style>
  <w:style w:type="character" w:styleId="Lienhypertextesuivivisit">
    <w:name w:val="FollowedHyperlink"/>
    <w:basedOn w:val="Policepardfaut"/>
    <w:uiPriority w:val="99"/>
    <w:semiHidden/>
    <w:unhideWhenUsed/>
    <w:rsid w:val="00532E8A"/>
    <w:rPr>
      <w:color w:val="800080" w:themeColor="followedHyperlink"/>
      <w:u w:val="single"/>
    </w:rPr>
  </w:style>
  <w:style w:type="paragraph" w:customStyle="1" w:styleId="Default">
    <w:name w:val="Default"/>
    <w:rsid w:val="00D927FE"/>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107C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07C86"/>
    <w:rPr>
      <w:sz w:val="20"/>
      <w:szCs w:val="20"/>
    </w:rPr>
  </w:style>
  <w:style w:type="character" w:styleId="Appelnotedebasdep">
    <w:name w:val="footnote reference"/>
    <w:basedOn w:val="Policepardfaut"/>
    <w:uiPriority w:val="99"/>
    <w:semiHidden/>
    <w:unhideWhenUsed/>
    <w:rsid w:val="00107C86"/>
    <w:rPr>
      <w:vertAlign w:val="superscript"/>
    </w:rPr>
  </w:style>
  <w:style w:type="character" w:customStyle="1" w:styleId="systrantokenpunctuation">
    <w:name w:val="systran_token_punctuation"/>
    <w:basedOn w:val="Policepardfaut"/>
    <w:rsid w:val="001C0C7A"/>
  </w:style>
  <w:style w:type="character" w:customStyle="1" w:styleId="systrantokenword">
    <w:name w:val="systran_token_word"/>
    <w:basedOn w:val="Policepardfaut"/>
    <w:rsid w:val="001C0C7A"/>
  </w:style>
  <w:style w:type="paragraph" w:styleId="Rvision">
    <w:name w:val="Revision"/>
    <w:hidden/>
    <w:uiPriority w:val="99"/>
    <w:semiHidden/>
    <w:rsid w:val="00A75D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88549">
      <w:bodyDiv w:val="1"/>
      <w:marLeft w:val="0"/>
      <w:marRight w:val="0"/>
      <w:marTop w:val="0"/>
      <w:marBottom w:val="0"/>
      <w:divBdr>
        <w:top w:val="none" w:sz="0" w:space="0" w:color="auto"/>
        <w:left w:val="none" w:sz="0" w:space="0" w:color="auto"/>
        <w:bottom w:val="none" w:sz="0" w:space="0" w:color="auto"/>
        <w:right w:val="none" w:sz="0" w:space="0" w:color="auto"/>
      </w:divBdr>
    </w:div>
    <w:div w:id="214464577">
      <w:bodyDiv w:val="1"/>
      <w:marLeft w:val="0"/>
      <w:marRight w:val="0"/>
      <w:marTop w:val="0"/>
      <w:marBottom w:val="0"/>
      <w:divBdr>
        <w:top w:val="none" w:sz="0" w:space="0" w:color="auto"/>
        <w:left w:val="none" w:sz="0" w:space="0" w:color="auto"/>
        <w:bottom w:val="none" w:sz="0" w:space="0" w:color="auto"/>
        <w:right w:val="none" w:sz="0" w:space="0" w:color="auto"/>
      </w:divBdr>
    </w:div>
    <w:div w:id="260794397">
      <w:bodyDiv w:val="1"/>
      <w:marLeft w:val="0"/>
      <w:marRight w:val="0"/>
      <w:marTop w:val="0"/>
      <w:marBottom w:val="0"/>
      <w:divBdr>
        <w:top w:val="none" w:sz="0" w:space="0" w:color="auto"/>
        <w:left w:val="none" w:sz="0" w:space="0" w:color="auto"/>
        <w:bottom w:val="none" w:sz="0" w:space="0" w:color="auto"/>
        <w:right w:val="none" w:sz="0" w:space="0" w:color="auto"/>
      </w:divBdr>
    </w:div>
    <w:div w:id="443888882">
      <w:bodyDiv w:val="1"/>
      <w:marLeft w:val="0"/>
      <w:marRight w:val="0"/>
      <w:marTop w:val="0"/>
      <w:marBottom w:val="0"/>
      <w:divBdr>
        <w:top w:val="none" w:sz="0" w:space="0" w:color="auto"/>
        <w:left w:val="none" w:sz="0" w:space="0" w:color="auto"/>
        <w:bottom w:val="none" w:sz="0" w:space="0" w:color="auto"/>
        <w:right w:val="none" w:sz="0" w:space="0" w:color="auto"/>
      </w:divBdr>
    </w:div>
    <w:div w:id="474685813">
      <w:bodyDiv w:val="1"/>
      <w:marLeft w:val="0"/>
      <w:marRight w:val="0"/>
      <w:marTop w:val="0"/>
      <w:marBottom w:val="0"/>
      <w:divBdr>
        <w:top w:val="none" w:sz="0" w:space="0" w:color="auto"/>
        <w:left w:val="none" w:sz="0" w:space="0" w:color="auto"/>
        <w:bottom w:val="none" w:sz="0" w:space="0" w:color="auto"/>
        <w:right w:val="none" w:sz="0" w:space="0" w:color="auto"/>
      </w:divBdr>
    </w:div>
    <w:div w:id="558904922">
      <w:bodyDiv w:val="1"/>
      <w:marLeft w:val="0"/>
      <w:marRight w:val="0"/>
      <w:marTop w:val="0"/>
      <w:marBottom w:val="0"/>
      <w:divBdr>
        <w:top w:val="none" w:sz="0" w:space="0" w:color="auto"/>
        <w:left w:val="none" w:sz="0" w:space="0" w:color="auto"/>
        <w:bottom w:val="none" w:sz="0" w:space="0" w:color="auto"/>
        <w:right w:val="none" w:sz="0" w:space="0" w:color="auto"/>
      </w:divBdr>
    </w:div>
    <w:div w:id="590898148">
      <w:bodyDiv w:val="1"/>
      <w:marLeft w:val="0"/>
      <w:marRight w:val="0"/>
      <w:marTop w:val="0"/>
      <w:marBottom w:val="0"/>
      <w:divBdr>
        <w:top w:val="none" w:sz="0" w:space="0" w:color="auto"/>
        <w:left w:val="none" w:sz="0" w:space="0" w:color="auto"/>
        <w:bottom w:val="none" w:sz="0" w:space="0" w:color="auto"/>
        <w:right w:val="none" w:sz="0" w:space="0" w:color="auto"/>
      </w:divBdr>
    </w:div>
    <w:div w:id="666709811">
      <w:bodyDiv w:val="1"/>
      <w:marLeft w:val="0"/>
      <w:marRight w:val="0"/>
      <w:marTop w:val="0"/>
      <w:marBottom w:val="0"/>
      <w:divBdr>
        <w:top w:val="none" w:sz="0" w:space="0" w:color="auto"/>
        <w:left w:val="none" w:sz="0" w:space="0" w:color="auto"/>
        <w:bottom w:val="none" w:sz="0" w:space="0" w:color="auto"/>
        <w:right w:val="none" w:sz="0" w:space="0" w:color="auto"/>
      </w:divBdr>
    </w:div>
    <w:div w:id="820850482">
      <w:bodyDiv w:val="1"/>
      <w:marLeft w:val="0"/>
      <w:marRight w:val="0"/>
      <w:marTop w:val="0"/>
      <w:marBottom w:val="0"/>
      <w:divBdr>
        <w:top w:val="none" w:sz="0" w:space="0" w:color="auto"/>
        <w:left w:val="none" w:sz="0" w:space="0" w:color="auto"/>
        <w:bottom w:val="none" w:sz="0" w:space="0" w:color="auto"/>
        <w:right w:val="none" w:sz="0" w:space="0" w:color="auto"/>
      </w:divBdr>
    </w:div>
    <w:div w:id="887886339">
      <w:bodyDiv w:val="1"/>
      <w:marLeft w:val="0"/>
      <w:marRight w:val="0"/>
      <w:marTop w:val="0"/>
      <w:marBottom w:val="0"/>
      <w:divBdr>
        <w:top w:val="none" w:sz="0" w:space="0" w:color="auto"/>
        <w:left w:val="none" w:sz="0" w:space="0" w:color="auto"/>
        <w:bottom w:val="none" w:sz="0" w:space="0" w:color="auto"/>
        <w:right w:val="none" w:sz="0" w:space="0" w:color="auto"/>
      </w:divBdr>
    </w:div>
    <w:div w:id="914782505">
      <w:bodyDiv w:val="1"/>
      <w:marLeft w:val="0"/>
      <w:marRight w:val="0"/>
      <w:marTop w:val="0"/>
      <w:marBottom w:val="0"/>
      <w:divBdr>
        <w:top w:val="none" w:sz="0" w:space="0" w:color="auto"/>
        <w:left w:val="none" w:sz="0" w:space="0" w:color="auto"/>
        <w:bottom w:val="none" w:sz="0" w:space="0" w:color="auto"/>
        <w:right w:val="none" w:sz="0" w:space="0" w:color="auto"/>
      </w:divBdr>
    </w:div>
    <w:div w:id="1096753620">
      <w:bodyDiv w:val="1"/>
      <w:marLeft w:val="0"/>
      <w:marRight w:val="0"/>
      <w:marTop w:val="0"/>
      <w:marBottom w:val="0"/>
      <w:divBdr>
        <w:top w:val="none" w:sz="0" w:space="0" w:color="auto"/>
        <w:left w:val="none" w:sz="0" w:space="0" w:color="auto"/>
        <w:bottom w:val="none" w:sz="0" w:space="0" w:color="auto"/>
        <w:right w:val="none" w:sz="0" w:space="0" w:color="auto"/>
      </w:divBdr>
    </w:div>
    <w:div w:id="1131902579">
      <w:bodyDiv w:val="1"/>
      <w:marLeft w:val="0"/>
      <w:marRight w:val="0"/>
      <w:marTop w:val="0"/>
      <w:marBottom w:val="0"/>
      <w:divBdr>
        <w:top w:val="none" w:sz="0" w:space="0" w:color="auto"/>
        <w:left w:val="none" w:sz="0" w:space="0" w:color="auto"/>
        <w:bottom w:val="none" w:sz="0" w:space="0" w:color="auto"/>
        <w:right w:val="none" w:sz="0" w:space="0" w:color="auto"/>
      </w:divBdr>
    </w:div>
    <w:div w:id="1576548053">
      <w:bodyDiv w:val="1"/>
      <w:marLeft w:val="0"/>
      <w:marRight w:val="0"/>
      <w:marTop w:val="0"/>
      <w:marBottom w:val="0"/>
      <w:divBdr>
        <w:top w:val="none" w:sz="0" w:space="0" w:color="auto"/>
        <w:left w:val="none" w:sz="0" w:space="0" w:color="auto"/>
        <w:bottom w:val="none" w:sz="0" w:space="0" w:color="auto"/>
        <w:right w:val="none" w:sz="0" w:space="0" w:color="auto"/>
      </w:divBdr>
    </w:div>
    <w:div w:id="1637643820">
      <w:bodyDiv w:val="1"/>
      <w:marLeft w:val="0"/>
      <w:marRight w:val="0"/>
      <w:marTop w:val="0"/>
      <w:marBottom w:val="0"/>
      <w:divBdr>
        <w:top w:val="none" w:sz="0" w:space="0" w:color="auto"/>
        <w:left w:val="none" w:sz="0" w:space="0" w:color="auto"/>
        <w:bottom w:val="none" w:sz="0" w:space="0" w:color="auto"/>
        <w:right w:val="none" w:sz="0" w:space="0" w:color="auto"/>
      </w:divBdr>
    </w:div>
    <w:div w:id="1689527471">
      <w:bodyDiv w:val="1"/>
      <w:marLeft w:val="0"/>
      <w:marRight w:val="0"/>
      <w:marTop w:val="0"/>
      <w:marBottom w:val="0"/>
      <w:divBdr>
        <w:top w:val="none" w:sz="0" w:space="0" w:color="auto"/>
        <w:left w:val="none" w:sz="0" w:space="0" w:color="auto"/>
        <w:bottom w:val="none" w:sz="0" w:space="0" w:color="auto"/>
        <w:right w:val="none" w:sz="0" w:space="0" w:color="auto"/>
      </w:divBdr>
    </w:div>
    <w:div w:id="1816264887">
      <w:bodyDiv w:val="1"/>
      <w:marLeft w:val="0"/>
      <w:marRight w:val="0"/>
      <w:marTop w:val="0"/>
      <w:marBottom w:val="0"/>
      <w:divBdr>
        <w:top w:val="none" w:sz="0" w:space="0" w:color="auto"/>
        <w:left w:val="none" w:sz="0" w:space="0" w:color="auto"/>
        <w:bottom w:val="none" w:sz="0" w:space="0" w:color="auto"/>
        <w:right w:val="none" w:sz="0" w:space="0" w:color="auto"/>
      </w:divBdr>
    </w:div>
    <w:div w:id="2062554391">
      <w:bodyDiv w:val="1"/>
      <w:marLeft w:val="0"/>
      <w:marRight w:val="0"/>
      <w:marTop w:val="0"/>
      <w:marBottom w:val="0"/>
      <w:divBdr>
        <w:top w:val="none" w:sz="0" w:space="0" w:color="auto"/>
        <w:left w:val="none" w:sz="0" w:space="0" w:color="auto"/>
        <w:bottom w:val="none" w:sz="0" w:space="0" w:color="auto"/>
        <w:right w:val="none" w:sz="0" w:space="0" w:color="auto"/>
      </w:divBdr>
    </w:div>
    <w:div w:id="2081443956">
      <w:bodyDiv w:val="1"/>
      <w:marLeft w:val="0"/>
      <w:marRight w:val="0"/>
      <w:marTop w:val="0"/>
      <w:marBottom w:val="0"/>
      <w:divBdr>
        <w:top w:val="none" w:sz="0" w:space="0" w:color="auto"/>
        <w:left w:val="none" w:sz="0" w:space="0" w:color="auto"/>
        <w:bottom w:val="none" w:sz="0" w:space="0" w:color="auto"/>
        <w:right w:val="none" w:sz="0" w:space="0" w:color="auto"/>
      </w:divBdr>
    </w:div>
    <w:div w:id="213131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iopa.europa.eu/document-library/decision/decision-eiopas-regular-information-requests-towards-ncas-regard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iopa.europa.eu/document-library/decision/decision-eiopas-regular-information-requests-towards-ncas-regard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opa.europa.eu/document-library/decision/decision-eiopas-regular-information-requests-towards-ncas-regarding" TargetMode="External"/><Relationship Id="rId5" Type="http://schemas.openxmlformats.org/officeDocument/2006/relationships/webSettings" Target="webSettings.xml"/><Relationship Id="rId15" Type="http://schemas.openxmlformats.org/officeDocument/2006/relationships/hyperlink" Target="https://eur-lex.europa.eu/legal-content/FR/TXT/?uri=CELEX%3A32018R0231" TargetMode="External"/><Relationship Id="rId10" Type="http://schemas.openxmlformats.org/officeDocument/2006/relationships/hyperlink" Target="https://publications.europa.eu/en/publication-detail/-/publication/fac672e4-dad7-11e3-8cd4-01aa75ed71a1/language-en" TargetMode="External"/><Relationship Id="rId4" Type="http://schemas.openxmlformats.org/officeDocument/2006/relationships/settings" Target="settings.xml"/><Relationship Id="rId9" Type="http://schemas.openxmlformats.org/officeDocument/2006/relationships/hyperlink" Target="https://register.eiopa.europa.eu/registers/register-of-institutions-for-occupational-retirement-provision" TargetMode="External"/><Relationship Id="rId14" Type="http://schemas.openxmlformats.org/officeDocument/2006/relationships/hyperlink" Target="https://eur-lex.europa.eu/legal-content/FR/TXT/?uri=CELEX%3A32018R023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0B986-8B09-4AED-8068-C59621B3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7</Pages>
  <Words>2133</Words>
  <Characters>11732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ADNOT</dc:creator>
  <cp:lastModifiedBy>WILKINSON Baptiste (UA 2775)</cp:lastModifiedBy>
  <cp:revision>24</cp:revision>
  <dcterms:created xsi:type="dcterms:W3CDTF">2020-11-30T16:19:00Z</dcterms:created>
  <dcterms:modified xsi:type="dcterms:W3CDTF">2023-01-02T16:43:00Z</dcterms:modified>
</cp:coreProperties>
</file>